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71D0F" w14:textId="2EE063F8" w:rsidR="00CB6631" w:rsidRDefault="00CB6631" w:rsidP="00CB6631">
      <w:pPr>
        <w:rPr>
          <w:rFonts w:cs="Arial"/>
          <w:b/>
          <w:bCs/>
          <w:sz w:val="32"/>
          <w:szCs w:val="32"/>
        </w:rPr>
      </w:pPr>
    </w:p>
    <w:p w14:paraId="1F82AF07" w14:textId="77777777" w:rsidR="00CB6631" w:rsidRPr="00476928" w:rsidRDefault="00CB6631" w:rsidP="00CB6631">
      <w:pPr>
        <w:keepLines/>
        <w:pBdr>
          <w:bottom w:val="single" w:sz="24" w:space="6" w:color="00838F"/>
        </w:pBdr>
        <w:spacing w:before="360"/>
        <w:rPr>
          <w:rFonts w:cs="Arial"/>
          <w:b/>
          <w:bCs/>
          <w:sz w:val="32"/>
          <w:szCs w:val="32"/>
          <w:lang w:val="es-PE"/>
        </w:rPr>
      </w:pPr>
      <w:r w:rsidRPr="001D477C">
        <w:rPr>
          <w:rFonts w:cs="Arial"/>
          <w:b/>
          <w:bCs/>
          <w:color w:val="1F3864"/>
          <w:sz w:val="72"/>
          <w:szCs w:val="32"/>
          <w:lang w:val="es-PE"/>
        </w:rPr>
        <w:t>Informe del sector gas natural en el Perú</w:t>
      </w:r>
    </w:p>
    <w:p w14:paraId="73816C91" w14:textId="2DC3B533" w:rsidR="00CB6631" w:rsidRDefault="00CB6631" w:rsidP="00CB6631">
      <w:pPr>
        <w:keepLines/>
        <w:rPr>
          <w:rFonts w:cs="Arial"/>
          <w:b/>
          <w:bCs/>
          <w:i/>
          <w:color w:val="00838F"/>
          <w:sz w:val="26"/>
          <w:lang w:val="es-PE"/>
        </w:rPr>
      </w:pPr>
      <w:r w:rsidRPr="00476928">
        <w:rPr>
          <w:rFonts w:cs="Arial"/>
          <w:b/>
          <w:bCs/>
          <w:i/>
          <w:color w:val="00838F"/>
          <w:sz w:val="26"/>
          <w:lang w:val="es-PE"/>
        </w:rPr>
        <w:t>Cifras al cierre de 2025</w:t>
      </w:r>
    </w:p>
    <w:p w14:paraId="472EEC63" w14:textId="59D96CAC" w:rsidR="00CB6631" w:rsidRPr="00A64177" w:rsidRDefault="00CB6631" w:rsidP="00CB6631">
      <w:pPr>
        <w:rPr>
          <w:rFonts w:cs="Arial"/>
          <w:b/>
          <w:bCs/>
          <w:lang w:val="es-ES"/>
        </w:rPr>
      </w:pPr>
    </w:p>
    <w:p w14:paraId="6E2F7997" w14:textId="77777777" w:rsidR="00CB6631" w:rsidRPr="00476928" w:rsidRDefault="00CB6631" w:rsidP="00CB6631">
      <w:pPr>
        <w:rPr>
          <w:rFonts w:cs="Arial"/>
          <w:b/>
          <w:bCs/>
          <w:sz w:val="32"/>
          <w:szCs w:val="32"/>
          <w:lang w:val="es-PE"/>
        </w:rPr>
      </w:pPr>
    </w:p>
    <w:p w14:paraId="2E5877B7" w14:textId="77777777" w:rsidR="00CB6631" w:rsidRPr="00476928" w:rsidRDefault="00CB6631" w:rsidP="00CB6631">
      <w:pPr>
        <w:rPr>
          <w:rFonts w:cs="Arial"/>
          <w:b/>
          <w:bCs/>
          <w:sz w:val="32"/>
          <w:szCs w:val="32"/>
          <w:lang w:val="es-PE"/>
        </w:rPr>
      </w:pPr>
    </w:p>
    <w:p w14:paraId="12F563A7" w14:textId="77777777" w:rsidR="00CB6631" w:rsidRPr="00D13B4A" w:rsidRDefault="00CB6631" w:rsidP="00CB6631">
      <w:pPr>
        <w:keepLines/>
        <w:rPr>
          <w:rFonts w:cs="Arial"/>
          <w:b/>
          <w:bCs/>
          <w:lang w:val="es-PE"/>
        </w:rPr>
      </w:pPr>
      <w:r w:rsidRPr="00D13B4A">
        <w:rPr>
          <w:rFonts w:cs="Arial"/>
          <w:b/>
          <w:bCs/>
          <w:lang w:val="es-PE"/>
        </w:rPr>
        <w:t>Elaborado para:</w:t>
      </w:r>
    </w:p>
    <w:p w14:paraId="6AFCABAC" w14:textId="77777777" w:rsidR="00CB6631" w:rsidRPr="00397355" w:rsidRDefault="00CB6631" w:rsidP="00CB6631">
      <w:pPr>
        <w:spacing w:before="80" w:after="80"/>
        <w:jc w:val="center"/>
        <w:rPr>
          <w:rFonts w:cs="Arial"/>
          <w:b/>
          <w:bCs/>
        </w:rPr>
      </w:pPr>
      <w:r>
        <w:rPr>
          <w:noProof/>
        </w:rPr>
        <w:drawing>
          <wp:inline distT="0" distB="0" distL="0" distR="0" wp14:anchorId="712E5A49" wp14:editId="1A4A971C">
            <wp:extent cx="5612130" cy="1736725"/>
            <wp:effectExtent l="0" t="0" r="0" b="0"/>
            <wp:docPr id="1" name="Imagen 41" descr="Quiénes somos | Quav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iénes somos | Quavi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2130" cy="1736725"/>
                    </a:xfrm>
                    <a:prstGeom prst="rect">
                      <a:avLst/>
                    </a:prstGeom>
                    <a:noFill/>
                    <a:ln>
                      <a:noFill/>
                    </a:ln>
                  </pic:spPr>
                </pic:pic>
              </a:graphicData>
            </a:graphic>
          </wp:inline>
        </w:drawing>
      </w:r>
    </w:p>
    <w:p w14:paraId="7A52D38D" w14:textId="77777777" w:rsidR="00CB6631" w:rsidRPr="00476928" w:rsidRDefault="00CB6631" w:rsidP="00CB6631">
      <w:pPr>
        <w:rPr>
          <w:rFonts w:cs="Arial"/>
          <w:b/>
          <w:bCs/>
          <w:lang w:val="es-PE"/>
        </w:rPr>
      </w:pPr>
      <w:r w:rsidRPr="00476928">
        <w:rPr>
          <w:rFonts w:cs="Arial"/>
          <w:b/>
          <w:bCs/>
          <w:lang w:val="es-PE"/>
        </w:rPr>
        <w:t xml:space="preserve"> </w:t>
      </w:r>
    </w:p>
    <w:p w14:paraId="24409A78" w14:textId="04BD1B71" w:rsidR="00CB6631" w:rsidRPr="00476928" w:rsidRDefault="004F3DB7" w:rsidP="00CB6631">
      <w:pPr>
        <w:keepLines/>
        <w:spacing w:line="259" w:lineRule="auto"/>
        <w:rPr>
          <w:rFonts w:eastAsia="Calibri" w:cs="Arial"/>
          <w:b/>
          <w:lang w:val="es-PE"/>
        </w:rPr>
      </w:pPr>
      <w:r>
        <w:rPr>
          <w:rFonts w:eastAsia="Calibri" w:cs="Arial"/>
          <w:b/>
          <w:lang w:val="es-PE"/>
        </w:rPr>
        <w:t xml:space="preserve">                   </w:t>
      </w:r>
      <w:r w:rsidR="00CB6631" w:rsidRPr="00476928">
        <w:rPr>
          <w:rFonts w:eastAsia="Calibri" w:cs="Arial"/>
          <w:b/>
          <w:lang w:val="es-PE"/>
        </w:rPr>
        <w:t>V</w:t>
      </w:r>
      <w:r>
        <w:rPr>
          <w:rFonts w:eastAsia="Calibri" w:cs="Arial"/>
          <w:b/>
          <w:lang w:val="es-PE"/>
        </w:rPr>
        <w:t>í</w:t>
      </w:r>
      <w:r w:rsidR="00CB6631" w:rsidRPr="00476928">
        <w:rPr>
          <w:rFonts w:eastAsia="Calibri" w:cs="Arial"/>
          <w:b/>
          <w:lang w:val="es-PE"/>
        </w:rPr>
        <w:t>ctor Albuquerque</w:t>
      </w:r>
      <w:r>
        <w:rPr>
          <w:rFonts w:eastAsia="Calibri" w:cs="Arial"/>
          <w:b/>
          <w:lang w:val="es-PE"/>
        </w:rPr>
        <w:t xml:space="preserve">                                               </w:t>
      </w:r>
      <w:r w:rsidR="00CB6631" w:rsidRPr="00476928">
        <w:rPr>
          <w:rFonts w:eastAsia="Calibri" w:cs="Arial"/>
          <w:b/>
          <w:lang w:val="es-PE"/>
        </w:rPr>
        <w:t xml:space="preserve"> Iván Portocarrero</w:t>
      </w:r>
    </w:p>
    <w:p w14:paraId="5D72B0BA" w14:textId="22681E38" w:rsidR="00CB6631" w:rsidRPr="00476928" w:rsidRDefault="004F3DB7" w:rsidP="00CB6631">
      <w:pPr>
        <w:keepLines/>
        <w:spacing w:line="259" w:lineRule="auto"/>
        <w:rPr>
          <w:rFonts w:eastAsia="Calibri" w:cs="Arial"/>
          <w:lang w:val="es-PE"/>
        </w:rPr>
      </w:pPr>
      <w:r>
        <w:rPr>
          <w:rFonts w:eastAsia="Calibri" w:cs="Arial"/>
          <w:lang w:val="es-PE"/>
        </w:rPr>
        <w:t xml:space="preserve">                                </w:t>
      </w:r>
      <w:r w:rsidR="00CB6631" w:rsidRPr="00476928">
        <w:rPr>
          <w:rFonts w:eastAsia="Calibri" w:cs="Arial"/>
          <w:lang w:val="es-PE"/>
        </w:rPr>
        <w:t xml:space="preserve">Socio </w:t>
      </w:r>
      <w:r>
        <w:rPr>
          <w:rFonts w:eastAsia="Calibri" w:cs="Arial"/>
          <w:lang w:val="es-PE"/>
        </w:rPr>
        <w:t xml:space="preserve">                                                                     </w:t>
      </w:r>
      <w:r w:rsidR="00CB6631" w:rsidRPr="00476928">
        <w:rPr>
          <w:rFonts w:eastAsia="Calibri" w:cs="Arial"/>
          <w:lang w:val="es-PE"/>
        </w:rPr>
        <w:t>Socio</w:t>
      </w:r>
    </w:p>
    <w:p w14:paraId="13F2C62F" w14:textId="2A679445" w:rsidR="00CB6631" w:rsidRPr="00476928" w:rsidRDefault="00CB6631" w:rsidP="00CB6631">
      <w:pPr>
        <w:keepLines/>
        <w:spacing w:line="259" w:lineRule="auto"/>
        <w:rPr>
          <w:rFonts w:eastAsia="Calibri" w:cs="Arial"/>
          <w:lang w:val="es-PE"/>
        </w:rPr>
      </w:pPr>
      <w:r w:rsidRPr="00476928">
        <w:rPr>
          <w:rFonts w:eastAsia="Calibri" w:cs="Arial"/>
          <w:lang w:val="es-PE"/>
        </w:rPr>
        <w:t xml:space="preserve">valbuquerque@apoyoconsultoria.com </w:t>
      </w:r>
      <w:r w:rsidR="004F3DB7">
        <w:rPr>
          <w:rFonts w:eastAsia="Calibri" w:cs="Arial"/>
          <w:lang w:val="es-PE"/>
        </w:rPr>
        <w:t xml:space="preserve">                            </w:t>
      </w:r>
      <w:r w:rsidRPr="00476928">
        <w:rPr>
          <w:rFonts w:eastAsia="Calibri" w:cs="Arial"/>
          <w:lang w:val="es-PE"/>
        </w:rPr>
        <w:t>iportocarrero@apoyoconsultoria.com</w:t>
      </w:r>
    </w:p>
    <w:p w14:paraId="63A9C127" w14:textId="77777777" w:rsidR="00CB6631" w:rsidRPr="00476928" w:rsidRDefault="00CB6631" w:rsidP="00CB6631">
      <w:pPr>
        <w:spacing w:line="259" w:lineRule="auto"/>
        <w:rPr>
          <w:rFonts w:eastAsia="Calibri" w:cs="Arial"/>
          <w:b/>
          <w:lang w:val="es-PE"/>
        </w:rPr>
      </w:pPr>
    </w:p>
    <w:p w14:paraId="0263EB55" w14:textId="77777777" w:rsidR="00CB6631" w:rsidRPr="00476928" w:rsidRDefault="00CB6631" w:rsidP="00CB6631">
      <w:pPr>
        <w:spacing w:line="259" w:lineRule="auto"/>
        <w:rPr>
          <w:rFonts w:eastAsia="Calibri" w:cs="Arial"/>
          <w:b/>
          <w:lang w:val="es-PE"/>
        </w:rPr>
      </w:pPr>
    </w:p>
    <w:p w14:paraId="4E47E083" w14:textId="77777777" w:rsidR="00CB6631" w:rsidRPr="00476928" w:rsidRDefault="00CB6631" w:rsidP="00CB6631">
      <w:pPr>
        <w:keepNext/>
        <w:spacing w:line="259" w:lineRule="auto"/>
        <w:rPr>
          <w:rFonts w:eastAsia="Calibri" w:cs="Arial"/>
          <w:b/>
          <w:lang w:val="es-PE"/>
        </w:rPr>
      </w:pPr>
    </w:p>
    <w:p w14:paraId="367CEA1E" w14:textId="77777777" w:rsidR="00CB6631" w:rsidRDefault="00CB6631" w:rsidP="00AD7C31">
      <w:pPr>
        <w:keepNext/>
        <w:keepLines/>
        <w:jc w:val="center"/>
        <w:rPr>
          <w:rFonts w:eastAsia="Calibri" w:cs="Arial"/>
          <w:sz w:val="24"/>
          <w:lang w:val="es-PE"/>
        </w:rPr>
      </w:pPr>
      <w:r w:rsidRPr="00476928">
        <w:rPr>
          <w:rFonts w:eastAsia="Calibri" w:cs="Arial"/>
          <w:sz w:val="24"/>
          <w:lang w:val="es-PE"/>
        </w:rPr>
        <w:t xml:space="preserve">Lima, </w:t>
      </w:r>
      <w:r>
        <w:rPr>
          <w:rFonts w:eastAsia="Calibri" w:cs="Arial"/>
          <w:sz w:val="24"/>
          <w:lang w:val="es-PE"/>
        </w:rPr>
        <w:t>octubre</w:t>
      </w:r>
      <w:r w:rsidRPr="00476928">
        <w:rPr>
          <w:rFonts w:eastAsia="Calibri" w:cs="Arial"/>
          <w:sz w:val="24"/>
          <w:lang w:val="es-PE"/>
        </w:rPr>
        <w:t xml:space="preserve"> de 2026</w:t>
      </w:r>
    </w:p>
    <w:p w14:paraId="5BD13111" w14:textId="77777777" w:rsidR="00AD7C31" w:rsidRPr="00476928" w:rsidRDefault="00AD7C31" w:rsidP="00CB6631">
      <w:pPr>
        <w:keepNext/>
        <w:rPr>
          <w:rFonts w:eastAsia="Calibri" w:cs="Arial"/>
          <w:lang w:val="es-PE"/>
        </w:rPr>
      </w:pPr>
    </w:p>
    <w:p w14:paraId="725A3392" w14:textId="77777777" w:rsidR="0093052E" w:rsidRPr="00552E6B" w:rsidRDefault="00A37447">
      <w:pPr>
        <w:keepNext/>
        <w:keepLines/>
        <w:pageBreakBefore/>
        <w:pBdr>
          <w:bottom w:val="single" w:sz="12" w:space="6" w:color="1F3864"/>
        </w:pBdr>
        <w:spacing w:after="200"/>
        <w:rPr>
          <w:lang w:val="es-PE"/>
        </w:rPr>
      </w:pPr>
      <w:r w:rsidRPr="00552E6B">
        <w:rPr>
          <w:b/>
          <w:color w:val="1F3864"/>
          <w:sz w:val="32"/>
          <w:lang w:val="es-PE"/>
        </w:rPr>
        <w:lastRenderedPageBreak/>
        <w:t>Contenido</w:t>
      </w:r>
    </w:p>
    <w:tbl>
      <w:tblPr>
        <w:tblW w:w="8504" w:type="dxa"/>
        <w:tblLayout w:type="fixed"/>
        <w:tblCellMar>
          <w:left w:w="0" w:type="dxa"/>
          <w:right w:w="57" w:type="dxa"/>
        </w:tblCellMar>
        <w:tblLook w:val="04A0" w:firstRow="1" w:lastRow="0" w:firstColumn="1" w:lastColumn="0" w:noHBand="0" w:noVBand="1"/>
      </w:tblPr>
      <w:tblGrid>
        <w:gridCol w:w="864"/>
        <w:gridCol w:w="7640"/>
      </w:tblGrid>
      <w:tr w:rsidR="00C75A27" w14:paraId="14257932" w14:textId="77777777">
        <w:trPr>
          <w:cantSplit/>
        </w:trPr>
        <w:tc>
          <w:tcPr>
            <w:tcW w:w="864" w:type="dxa"/>
            <w:tcBorders>
              <w:bottom w:val="single" w:sz="6" w:space="0" w:color="D9D9D9"/>
            </w:tcBorders>
          </w:tcPr>
          <w:p w14:paraId="64FB7064" w14:textId="77777777" w:rsidR="00C75A27" w:rsidRDefault="00D4093E">
            <w:pPr>
              <w:keepNext/>
              <w:spacing w:before="110" w:after="0"/>
              <w:jc w:val="left"/>
            </w:pPr>
            <w:hyperlink w:anchor="_Idx_1" w:history="1">
              <w:r>
                <w:rPr>
                  <w:rFonts w:eastAsia="Arial" w:cs="Arial"/>
                  <w:b/>
                  <w:color w:val="1F3864"/>
                  <w:sz w:val="38"/>
                </w:rPr>
                <w:t>1</w:t>
              </w:r>
            </w:hyperlink>
          </w:p>
        </w:tc>
        <w:tc>
          <w:tcPr>
            <w:tcW w:w="7640" w:type="dxa"/>
            <w:tcBorders>
              <w:bottom w:val="single" w:sz="6" w:space="0" w:color="D9D9D9"/>
            </w:tcBorders>
          </w:tcPr>
          <w:p w14:paraId="1D139AC7" w14:textId="77777777" w:rsidR="00C75A27" w:rsidRDefault="00D4093E">
            <w:pPr>
              <w:keepNext/>
              <w:spacing w:before="140" w:after="0" w:line="290" w:lineRule="exact"/>
              <w:jc w:val="left"/>
            </w:pPr>
            <w:hyperlink w:anchor="_Idx_1" w:history="1">
              <w:r>
                <w:rPr>
                  <w:rFonts w:eastAsia="Arial" w:cs="Arial"/>
                  <w:b/>
                  <w:color w:val="1F3864"/>
                  <w:sz w:val="25"/>
                </w:rPr>
                <w:t>Introducción</w:t>
              </w:r>
            </w:hyperlink>
          </w:p>
        </w:tc>
      </w:tr>
      <w:tr w:rsidR="00C75A27" w14:paraId="32836E4D" w14:textId="77777777">
        <w:trPr>
          <w:cantSplit/>
        </w:trPr>
        <w:tc>
          <w:tcPr>
            <w:tcW w:w="864" w:type="dxa"/>
            <w:tcBorders>
              <w:bottom w:val="single" w:sz="6" w:space="0" w:color="D9D9D9"/>
            </w:tcBorders>
          </w:tcPr>
          <w:p w14:paraId="7CA72FC7" w14:textId="77777777" w:rsidR="00C75A27" w:rsidRDefault="00D4093E">
            <w:pPr>
              <w:keepNext/>
              <w:spacing w:before="110" w:after="0"/>
              <w:jc w:val="left"/>
            </w:pPr>
            <w:hyperlink w:anchor="_Idx_2" w:history="1">
              <w:r>
                <w:rPr>
                  <w:rFonts w:eastAsia="Arial" w:cs="Arial"/>
                  <w:b/>
                  <w:color w:val="1F3864"/>
                  <w:sz w:val="38"/>
                </w:rPr>
                <w:t>2</w:t>
              </w:r>
            </w:hyperlink>
          </w:p>
        </w:tc>
        <w:tc>
          <w:tcPr>
            <w:tcW w:w="7640" w:type="dxa"/>
            <w:tcBorders>
              <w:bottom w:val="single" w:sz="6" w:space="0" w:color="D9D9D9"/>
            </w:tcBorders>
          </w:tcPr>
          <w:p w14:paraId="34E0E379" w14:textId="77777777" w:rsidR="00C75A27" w:rsidRDefault="00D4093E">
            <w:pPr>
              <w:keepNext/>
              <w:spacing w:before="140" w:after="0" w:line="290" w:lineRule="exact"/>
              <w:jc w:val="left"/>
            </w:pPr>
            <w:hyperlink w:anchor="_Idx_2" w:history="1">
              <w:r>
                <w:rPr>
                  <w:rFonts w:eastAsia="Arial" w:cs="Arial"/>
                  <w:b/>
                  <w:color w:val="1F3864"/>
                  <w:sz w:val="25"/>
                </w:rPr>
                <w:t>Resumen ejecutivo</w:t>
              </w:r>
            </w:hyperlink>
          </w:p>
        </w:tc>
      </w:tr>
      <w:tr w:rsidR="00C75A27" w:rsidRPr="001D477C" w14:paraId="7251C75E" w14:textId="77777777">
        <w:trPr>
          <w:cantSplit/>
        </w:trPr>
        <w:tc>
          <w:tcPr>
            <w:tcW w:w="864" w:type="dxa"/>
            <w:tcBorders>
              <w:bottom w:val="single" w:sz="6" w:space="0" w:color="D9D9D9"/>
            </w:tcBorders>
          </w:tcPr>
          <w:p w14:paraId="772B558A" w14:textId="77777777" w:rsidR="00C75A27" w:rsidRDefault="00D4093E">
            <w:pPr>
              <w:keepNext/>
              <w:spacing w:before="110" w:after="0"/>
              <w:jc w:val="left"/>
            </w:pPr>
            <w:hyperlink w:anchor="_Toc235083016" w:history="1">
              <w:r>
                <w:rPr>
                  <w:rFonts w:eastAsia="Arial" w:cs="Arial"/>
                  <w:b/>
                  <w:color w:val="1F3864"/>
                  <w:sz w:val="38"/>
                </w:rPr>
                <w:t>3</w:t>
              </w:r>
            </w:hyperlink>
          </w:p>
        </w:tc>
        <w:tc>
          <w:tcPr>
            <w:tcW w:w="7640" w:type="dxa"/>
            <w:tcBorders>
              <w:bottom w:val="single" w:sz="6" w:space="0" w:color="D9D9D9"/>
            </w:tcBorders>
          </w:tcPr>
          <w:p w14:paraId="547D799B" w14:textId="77777777" w:rsidR="00C75A27" w:rsidRPr="00786EA0" w:rsidRDefault="00D4093E">
            <w:pPr>
              <w:keepNext/>
              <w:spacing w:before="140" w:after="0" w:line="290" w:lineRule="exact"/>
              <w:jc w:val="left"/>
              <w:rPr>
                <w:lang w:val="es-PE"/>
              </w:rPr>
            </w:pPr>
            <w:hyperlink w:anchor="_Toc235083016" w:history="1">
              <w:r w:rsidRPr="009937AD">
                <w:rPr>
                  <w:b/>
                  <w:color w:val="1F3864"/>
                  <w:sz w:val="25"/>
                  <w:lang w:val="es-PE"/>
                </w:rPr>
                <w:t>El gas natural en el Perú</w:t>
              </w:r>
            </w:hyperlink>
          </w:p>
          <w:p w14:paraId="6CAF0D7E" w14:textId="77777777" w:rsidR="00C75A27" w:rsidRPr="00786EA0" w:rsidRDefault="00D4093E">
            <w:pPr>
              <w:keepNext/>
              <w:tabs>
                <w:tab w:val="left" w:pos="700"/>
              </w:tabs>
              <w:spacing w:before="80" w:after="0" w:line="250" w:lineRule="exact"/>
              <w:ind w:left="700" w:hanging="700"/>
              <w:jc w:val="left"/>
              <w:rPr>
                <w:lang w:val="es-PE"/>
              </w:rPr>
            </w:pPr>
            <w:hyperlink w:anchor="_Toc235083017" w:history="1">
              <w:r w:rsidRPr="009937AD">
                <w:rPr>
                  <w:b/>
                  <w:color w:val="404040"/>
                  <w:lang w:val="es-PE"/>
                </w:rPr>
                <w:t>3.1</w:t>
              </w:r>
              <w:r w:rsidRPr="009937AD">
                <w:rPr>
                  <w:b/>
                  <w:color w:val="404040"/>
                  <w:lang w:val="es-PE"/>
                </w:rPr>
                <w:tab/>
              </w:r>
              <w:r w:rsidRPr="009937AD">
                <w:rPr>
                  <w:color w:val="404040"/>
                  <w:lang w:val="es-PE"/>
                </w:rPr>
                <w:t>Entorno económico</w:t>
              </w:r>
            </w:hyperlink>
          </w:p>
          <w:p w14:paraId="12A580FB" w14:textId="77777777" w:rsidR="00C75A27" w:rsidRPr="00786EA0" w:rsidRDefault="00D4093E">
            <w:pPr>
              <w:keepNext/>
              <w:tabs>
                <w:tab w:val="left" w:pos="700"/>
              </w:tabs>
              <w:spacing w:before="30" w:after="0" w:line="250" w:lineRule="exact"/>
              <w:ind w:left="700" w:hanging="700"/>
              <w:jc w:val="left"/>
              <w:rPr>
                <w:lang w:val="es-PE"/>
              </w:rPr>
            </w:pPr>
            <w:hyperlink w:anchor="_Toc235083018" w:history="1">
              <w:r w:rsidRPr="009937AD">
                <w:rPr>
                  <w:b/>
                  <w:color w:val="404040"/>
                  <w:lang w:val="es-PE"/>
                </w:rPr>
                <w:t>3.2</w:t>
              </w:r>
              <w:r w:rsidRPr="009937AD">
                <w:rPr>
                  <w:b/>
                  <w:color w:val="404040"/>
                  <w:lang w:val="es-PE"/>
                </w:rPr>
                <w:tab/>
              </w:r>
              <w:r w:rsidRPr="009937AD">
                <w:rPr>
                  <w:color w:val="404040"/>
                  <w:lang w:val="es-PE"/>
                </w:rPr>
                <w:t>Cifras del sector</w:t>
              </w:r>
            </w:hyperlink>
          </w:p>
        </w:tc>
      </w:tr>
      <w:tr w:rsidR="00C75A27" w:rsidRPr="001D477C" w14:paraId="79447577" w14:textId="77777777">
        <w:trPr>
          <w:cantSplit/>
        </w:trPr>
        <w:tc>
          <w:tcPr>
            <w:tcW w:w="864" w:type="dxa"/>
            <w:tcBorders>
              <w:bottom w:val="single" w:sz="6" w:space="0" w:color="D9D9D9"/>
            </w:tcBorders>
          </w:tcPr>
          <w:p w14:paraId="465A451A" w14:textId="77777777" w:rsidR="00C75A27" w:rsidRDefault="00D4093E">
            <w:pPr>
              <w:keepNext/>
              <w:spacing w:before="110" w:after="0"/>
              <w:jc w:val="left"/>
            </w:pPr>
            <w:hyperlink w:anchor="_Idx_4" w:history="1">
              <w:r>
                <w:rPr>
                  <w:rFonts w:eastAsia="Arial" w:cs="Arial"/>
                  <w:b/>
                  <w:color w:val="1F3864"/>
                  <w:sz w:val="38"/>
                </w:rPr>
                <w:t>4</w:t>
              </w:r>
            </w:hyperlink>
          </w:p>
        </w:tc>
        <w:tc>
          <w:tcPr>
            <w:tcW w:w="7640" w:type="dxa"/>
            <w:tcBorders>
              <w:bottom w:val="single" w:sz="6" w:space="0" w:color="D9D9D9"/>
            </w:tcBorders>
          </w:tcPr>
          <w:p w14:paraId="1019DC47" w14:textId="77777777" w:rsidR="00C75A27" w:rsidRPr="00786EA0" w:rsidRDefault="00D4093E">
            <w:pPr>
              <w:keepNext/>
              <w:spacing w:before="140" w:after="0" w:line="290" w:lineRule="exact"/>
              <w:jc w:val="left"/>
              <w:rPr>
                <w:lang w:val="es-PE"/>
              </w:rPr>
            </w:pPr>
            <w:hyperlink w:anchor="_Idx_4" w:history="1">
              <w:r w:rsidRPr="009937AD">
                <w:rPr>
                  <w:b/>
                  <w:color w:val="1F3864"/>
                  <w:sz w:val="25"/>
                  <w:lang w:val="es-PE"/>
                </w:rPr>
                <w:t>Avances en la masificación del gas natural en el Perú</w:t>
              </w:r>
            </w:hyperlink>
          </w:p>
          <w:p w14:paraId="4B243D80" w14:textId="77777777" w:rsidR="00C75A27" w:rsidRPr="00786EA0" w:rsidRDefault="00D4093E">
            <w:pPr>
              <w:keepNext/>
              <w:tabs>
                <w:tab w:val="left" w:pos="700"/>
              </w:tabs>
              <w:spacing w:before="80" w:after="0" w:line="250" w:lineRule="exact"/>
              <w:ind w:left="700" w:hanging="700"/>
              <w:jc w:val="left"/>
              <w:rPr>
                <w:lang w:val="es-PE"/>
              </w:rPr>
            </w:pPr>
            <w:hyperlink w:anchor="_Idx_4_1" w:history="1">
              <w:r w:rsidRPr="009937AD">
                <w:rPr>
                  <w:b/>
                  <w:color w:val="404040"/>
                  <w:lang w:val="es-PE"/>
                </w:rPr>
                <w:t>4.1</w:t>
              </w:r>
              <w:r w:rsidRPr="009937AD">
                <w:rPr>
                  <w:b/>
                  <w:color w:val="404040"/>
                  <w:lang w:val="es-PE"/>
                </w:rPr>
                <w:tab/>
              </w:r>
              <w:r w:rsidRPr="009937AD">
                <w:rPr>
                  <w:color w:val="404040"/>
                  <w:lang w:val="es-PE"/>
                </w:rPr>
                <w:t>Los grandes números de 2025 y los motores de la masificación</w:t>
              </w:r>
            </w:hyperlink>
          </w:p>
          <w:p w14:paraId="485829B2" w14:textId="77777777" w:rsidR="00C75A27" w:rsidRPr="00786EA0" w:rsidRDefault="00D4093E">
            <w:pPr>
              <w:keepNext/>
              <w:tabs>
                <w:tab w:val="left" w:pos="700"/>
              </w:tabs>
              <w:spacing w:before="30" w:after="0" w:line="250" w:lineRule="exact"/>
              <w:ind w:left="700" w:hanging="700"/>
              <w:jc w:val="left"/>
              <w:rPr>
                <w:lang w:val="es-PE"/>
              </w:rPr>
            </w:pPr>
            <w:hyperlink w:anchor="_Idx_4_2" w:history="1">
              <w:r w:rsidRPr="009937AD">
                <w:rPr>
                  <w:b/>
                  <w:color w:val="404040"/>
                  <w:lang w:val="es-PE"/>
                </w:rPr>
                <w:t>4.2</w:t>
              </w:r>
              <w:r w:rsidRPr="009937AD">
                <w:rPr>
                  <w:b/>
                  <w:color w:val="404040"/>
                  <w:lang w:val="es-PE"/>
                </w:rPr>
                <w:tab/>
              </w:r>
              <w:r w:rsidRPr="009937AD">
                <w:rPr>
                  <w:color w:val="404040"/>
                  <w:lang w:val="es-PE"/>
                </w:rPr>
                <w:t>Hitos claves alcanzados recientemente en el sector gas natural</w:t>
              </w:r>
            </w:hyperlink>
          </w:p>
        </w:tc>
      </w:tr>
      <w:tr w:rsidR="00C75A27" w:rsidRPr="001D477C" w14:paraId="0EF85BD2" w14:textId="77777777">
        <w:trPr>
          <w:cantSplit/>
        </w:trPr>
        <w:tc>
          <w:tcPr>
            <w:tcW w:w="864" w:type="dxa"/>
            <w:tcBorders>
              <w:bottom w:val="single" w:sz="6" w:space="0" w:color="D9D9D9"/>
            </w:tcBorders>
          </w:tcPr>
          <w:p w14:paraId="525B5456" w14:textId="77777777" w:rsidR="00C75A27" w:rsidRDefault="00D4093E">
            <w:pPr>
              <w:keepNext/>
              <w:spacing w:before="110" w:after="0"/>
              <w:jc w:val="left"/>
            </w:pPr>
            <w:hyperlink w:anchor="_Idx_5" w:history="1">
              <w:r>
                <w:rPr>
                  <w:rFonts w:eastAsia="Arial" w:cs="Arial"/>
                  <w:b/>
                  <w:color w:val="1F3864"/>
                  <w:sz w:val="38"/>
                </w:rPr>
                <w:t>5</w:t>
              </w:r>
            </w:hyperlink>
          </w:p>
        </w:tc>
        <w:tc>
          <w:tcPr>
            <w:tcW w:w="7640" w:type="dxa"/>
            <w:tcBorders>
              <w:bottom w:val="single" w:sz="6" w:space="0" w:color="D9D9D9"/>
            </w:tcBorders>
          </w:tcPr>
          <w:p w14:paraId="14BF35B2" w14:textId="72C6F080" w:rsidR="00C75A27" w:rsidRPr="00786EA0" w:rsidRDefault="00D4093E">
            <w:pPr>
              <w:keepNext/>
              <w:spacing w:before="140" w:after="0" w:line="290" w:lineRule="exact"/>
              <w:jc w:val="left"/>
              <w:rPr>
                <w:lang w:val="es-PE"/>
              </w:rPr>
            </w:pPr>
            <w:hyperlink w:anchor="_Idx_5" w:history="1">
              <w:r w:rsidRPr="009937AD">
                <w:rPr>
                  <w:b/>
                  <w:color w:val="1F3864"/>
                  <w:sz w:val="25"/>
                  <w:lang w:val="es-PE"/>
                </w:rPr>
                <w:t xml:space="preserve">El rol del gas natural frente al </w:t>
              </w:r>
              <w:r>
                <w:rPr>
                  <w:b/>
                  <w:color w:val="1F3864"/>
                  <w:sz w:val="25"/>
                  <w:lang w:val="es-PE"/>
                </w:rPr>
                <w:t>f</w:t>
              </w:r>
              <w:r w:rsidRPr="009937AD">
                <w:rPr>
                  <w:b/>
                  <w:color w:val="1F3864"/>
                  <w:sz w:val="25"/>
                  <w:lang w:val="es-PE"/>
                </w:rPr>
                <w:t xml:space="preserve">enómeno </w:t>
              </w:r>
              <w:r>
                <w:rPr>
                  <w:b/>
                  <w:color w:val="1F3864"/>
                  <w:sz w:val="25"/>
                  <w:lang w:val="es-PE"/>
                </w:rPr>
                <w:t xml:space="preserve">de </w:t>
              </w:r>
              <w:r w:rsidRPr="009937AD">
                <w:rPr>
                  <w:b/>
                  <w:color w:val="1F3864"/>
                  <w:sz w:val="25"/>
                  <w:lang w:val="es-PE"/>
                </w:rPr>
                <w:t>El Niño (FEN)</w:t>
              </w:r>
            </w:hyperlink>
          </w:p>
          <w:p w14:paraId="067BA7F6" w14:textId="77777777" w:rsidR="00C75A27" w:rsidRPr="00786EA0" w:rsidRDefault="00D4093E">
            <w:pPr>
              <w:keepNext/>
              <w:tabs>
                <w:tab w:val="left" w:pos="700"/>
              </w:tabs>
              <w:spacing w:before="80" w:after="0" w:line="250" w:lineRule="exact"/>
              <w:ind w:left="700" w:hanging="700"/>
              <w:jc w:val="left"/>
              <w:rPr>
                <w:lang w:val="es-PE"/>
              </w:rPr>
            </w:pPr>
            <w:hyperlink w:anchor="_Idx_5_1" w:history="1">
              <w:r w:rsidRPr="009937AD">
                <w:rPr>
                  <w:b/>
                  <w:color w:val="404040"/>
                  <w:lang w:val="es-PE"/>
                </w:rPr>
                <w:t>5.1</w:t>
              </w:r>
              <w:r w:rsidRPr="009937AD">
                <w:rPr>
                  <w:b/>
                  <w:color w:val="404040"/>
                  <w:lang w:val="es-PE"/>
                </w:rPr>
                <w:tab/>
              </w:r>
              <w:r w:rsidRPr="009937AD">
                <w:rPr>
                  <w:color w:val="404040"/>
                  <w:lang w:val="es-PE"/>
                </w:rPr>
                <w:t>La coyuntura: un FEN en curso que apunta a alta intensidad</w:t>
              </w:r>
            </w:hyperlink>
          </w:p>
          <w:p w14:paraId="50E747FB" w14:textId="46DE95DE" w:rsidR="00C75A27" w:rsidRPr="00786EA0" w:rsidRDefault="00D4093E">
            <w:pPr>
              <w:keepNext/>
              <w:tabs>
                <w:tab w:val="left" w:pos="700"/>
              </w:tabs>
              <w:spacing w:before="30" w:after="0" w:line="250" w:lineRule="exact"/>
              <w:ind w:left="700" w:hanging="700"/>
              <w:jc w:val="left"/>
              <w:rPr>
                <w:lang w:val="es-PE"/>
              </w:rPr>
            </w:pPr>
            <w:hyperlink w:anchor="_Idx_5_2" w:history="1">
              <w:r w:rsidRPr="009937AD">
                <w:rPr>
                  <w:b/>
                  <w:color w:val="404040"/>
                  <w:lang w:val="es-PE"/>
                </w:rPr>
                <w:t>5.2</w:t>
              </w:r>
              <w:r w:rsidRPr="009937AD">
                <w:rPr>
                  <w:b/>
                  <w:color w:val="404040"/>
                  <w:lang w:val="es-PE"/>
                </w:rPr>
                <w:tab/>
              </w:r>
              <w:r w:rsidRPr="009937AD">
                <w:rPr>
                  <w:color w:val="404040"/>
                  <w:lang w:val="es-PE"/>
                </w:rPr>
                <w:t xml:space="preserve">Cómo el FEN golpea al </w:t>
              </w:r>
              <w:r>
                <w:rPr>
                  <w:color w:val="404040"/>
                  <w:lang w:val="es-PE"/>
                </w:rPr>
                <w:t>S</w:t>
              </w:r>
              <w:r w:rsidRPr="009937AD">
                <w:rPr>
                  <w:color w:val="404040"/>
                  <w:lang w:val="es-PE"/>
                </w:rPr>
                <w:t xml:space="preserve">istema </w:t>
              </w:r>
              <w:r>
                <w:rPr>
                  <w:color w:val="404040"/>
                  <w:lang w:val="es-PE"/>
                </w:rPr>
                <w:t>E</w:t>
              </w:r>
              <w:r w:rsidRPr="009937AD">
                <w:rPr>
                  <w:color w:val="404040"/>
                  <w:lang w:val="es-PE"/>
                </w:rPr>
                <w:t>léctrico: el orden de mérito</w:t>
              </w:r>
            </w:hyperlink>
          </w:p>
          <w:p w14:paraId="53C14A30" w14:textId="77777777" w:rsidR="00C75A27" w:rsidRPr="00786EA0" w:rsidRDefault="00D4093E">
            <w:pPr>
              <w:keepNext/>
              <w:tabs>
                <w:tab w:val="left" w:pos="700"/>
              </w:tabs>
              <w:spacing w:before="30" w:after="0" w:line="250" w:lineRule="exact"/>
              <w:ind w:left="700" w:hanging="700"/>
              <w:jc w:val="left"/>
              <w:rPr>
                <w:lang w:val="es-PE"/>
              </w:rPr>
            </w:pPr>
            <w:hyperlink w:anchor="_Idx_5_3" w:history="1">
              <w:r w:rsidRPr="009937AD">
                <w:rPr>
                  <w:b/>
                  <w:color w:val="404040"/>
                  <w:lang w:val="es-PE"/>
                </w:rPr>
                <w:t>5.3</w:t>
              </w:r>
              <w:r w:rsidRPr="009937AD">
                <w:rPr>
                  <w:b/>
                  <w:color w:val="404040"/>
                  <w:lang w:val="es-PE"/>
                </w:rPr>
                <w:tab/>
              </w:r>
              <w:r w:rsidRPr="009937AD">
                <w:rPr>
                  <w:color w:val="404040"/>
                  <w:lang w:val="es-PE"/>
                </w:rPr>
                <w:t>Las crisis pasadas: la experiencia peruana e internacional sin el respaldo del gas natural</w:t>
              </w:r>
            </w:hyperlink>
          </w:p>
          <w:p w14:paraId="394803C1" w14:textId="77777777" w:rsidR="00C75A27" w:rsidRPr="00786EA0" w:rsidRDefault="00D4093E">
            <w:pPr>
              <w:keepNext/>
              <w:tabs>
                <w:tab w:val="left" w:pos="700"/>
              </w:tabs>
              <w:spacing w:before="30" w:after="0" w:line="250" w:lineRule="exact"/>
              <w:ind w:left="700" w:hanging="700"/>
              <w:jc w:val="left"/>
              <w:rPr>
                <w:lang w:val="es-PE"/>
              </w:rPr>
            </w:pPr>
            <w:hyperlink w:anchor="_Idx_5_4" w:history="1">
              <w:r w:rsidRPr="009937AD">
                <w:rPr>
                  <w:b/>
                  <w:color w:val="404040"/>
                  <w:lang w:val="es-PE"/>
                </w:rPr>
                <w:t>5.4</w:t>
              </w:r>
              <w:r w:rsidRPr="009937AD">
                <w:rPr>
                  <w:b/>
                  <w:color w:val="404040"/>
                  <w:lang w:val="es-PE"/>
                </w:rPr>
                <w:tab/>
              </w:r>
              <w:r w:rsidRPr="009937AD">
                <w:rPr>
                  <w:color w:val="404040"/>
                  <w:lang w:val="es-PE"/>
                </w:rPr>
                <w:t>La lección del FEN 2023-2024: el uso de gas natural para respaldar la falta de agua</w:t>
              </w:r>
            </w:hyperlink>
          </w:p>
          <w:p w14:paraId="1AC4E7AB" w14:textId="77777777" w:rsidR="00C75A27" w:rsidRPr="00786EA0" w:rsidRDefault="00D4093E">
            <w:pPr>
              <w:keepNext/>
              <w:tabs>
                <w:tab w:val="left" w:pos="700"/>
              </w:tabs>
              <w:spacing w:before="30" w:after="0" w:line="250" w:lineRule="exact"/>
              <w:ind w:left="700" w:hanging="700"/>
              <w:jc w:val="left"/>
              <w:rPr>
                <w:lang w:val="es-PE"/>
              </w:rPr>
            </w:pPr>
            <w:hyperlink w:anchor="_Idx_5_5" w:history="1">
              <w:r w:rsidRPr="009937AD">
                <w:rPr>
                  <w:b/>
                  <w:color w:val="404040"/>
                  <w:lang w:val="es-PE"/>
                </w:rPr>
                <w:t>5.5</w:t>
              </w:r>
              <w:r w:rsidRPr="009937AD">
                <w:rPr>
                  <w:b/>
                  <w:color w:val="404040"/>
                  <w:lang w:val="es-PE"/>
                </w:rPr>
                <w:tab/>
              </w:r>
              <w:r w:rsidRPr="009937AD">
                <w:rPr>
                  <w:color w:val="404040"/>
                  <w:lang w:val="es-PE"/>
                </w:rPr>
                <w:t>¿Qué se puede trabajar para mitigar los incrementos de precios?</w:t>
              </w:r>
            </w:hyperlink>
          </w:p>
        </w:tc>
      </w:tr>
      <w:tr w:rsidR="00C75A27" w14:paraId="56FFF6F7" w14:textId="77777777">
        <w:trPr>
          <w:cantSplit/>
        </w:trPr>
        <w:tc>
          <w:tcPr>
            <w:tcW w:w="864" w:type="dxa"/>
            <w:tcBorders>
              <w:bottom w:val="single" w:sz="6" w:space="0" w:color="D9D9D9"/>
            </w:tcBorders>
          </w:tcPr>
          <w:p w14:paraId="68E752D1" w14:textId="77777777" w:rsidR="00C75A27" w:rsidRDefault="00D4093E">
            <w:pPr>
              <w:keepNext/>
              <w:spacing w:before="110" w:after="0"/>
              <w:jc w:val="left"/>
            </w:pPr>
            <w:hyperlink w:anchor="_Idx_6" w:history="1">
              <w:r>
                <w:rPr>
                  <w:rFonts w:eastAsia="Arial" w:cs="Arial"/>
                  <w:b/>
                  <w:color w:val="1F3864"/>
                  <w:sz w:val="38"/>
                </w:rPr>
                <w:t>6</w:t>
              </w:r>
            </w:hyperlink>
          </w:p>
        </w:tc>
        <w:tc>
          <w:tcPr>
            <w:tcW w:w="7640" w:type="dxa"/>
            <w:tcBorders>
              <w:bottom w:val="single" w:sz="6" w:space="0" w:color="D9D9D9"/>
            </w:tcBorders>
          </w:tcPr>
          <w:p w14:paraId="0D60F95D" w14:textId="77777777" w:rsidR="00C75A27" w:rsidRPr="00786EA0" w:rsidRDefault="00D4093E">
            <w:pPr>
              <w:keepNext/>
              <w:spacing w:before="140" w:after="0" w:line="290" w:lineRule="exact"/>
              <w:jc w:val="left"/>
              <w:rPr>
                <w:lang w:val="es-PE"/>
              </w:rPr>
            </w:pPr>
            <w:hyperlink w:anchor="_Idx_6" w:history="1">
              <w:r w:rsidRPr="009937AD">
                <w:rPr>
                  <w:b/>
                  <w:color w:val="1F3864"/>
                  <w:sz w:val="25"/>
                  <w:lang w:val="es-PE"/>
                </w:rPr>
                <w:t>Oportunidades para consolidar la masificación del gas natural en un nuevo ciclo político</w:t>
              </w:r>
            </w:hyperlink>
          </w:p>
          <w:p w14:paraId="5C4B2BAA" w14:textId="77777777" w:rsidR="00C75A27" w:rsidRPr="00786EA0" w:rsidRDefault="00D4093E">
            <w:pPr>
              <w:keepNext/>
              <w:tabs>
                <w:tab w:val="left" w:pos="700"/>
              </w:tabs>
              <w:spacing w:before="80" w:after="0" w:line="250" w:lineRule="exact"/>
              <w:ind w:left="700" w:hanging="700"/>
              <w:jc w:val="left"/>
              <w:rPr>
                <w:lang w:val="es-PE"/>
              </w:rPr>
            </w:pPr>
            <w:hyperlink w:anchor="_Idx_6_1" w:history="1">
              <w:r w:rsidRPr="009937AD">
                <w:rPr>
                  <w:b/>
                  <w:color w:val="404040"/>
                  <w:lang w:val="es-PE"/>
                </w:rPr>
                <w:t>6.1</w:t>
              </w:r>
              <w:r w:rsidRPr="009937AD">
                <w:rPr>
                  <w:b/>
                  <w:color w:val="404040"/>
                  <w:lang w:val="es-PE"/>
                </w:rPr>
                <w:tab/>
              </w:r>
              <w:r w:rsidRPr="009937AD">
                <w:rPr>
                  <w:color w:val="404040"/>
                  <w:lang w:val="es-PE"/>
                </w:rPr>
                <w:t>Ampliar la cobertura del gas natural y generar demanda</w:t>
              </w:r>
            </w:hyperlink>
          </w:p>
          <w:p w14:paraId="4AD71284" w14:textId="77777777" w:rsidR="00C75A27" w:rsidRPr="00786EA0" w:rsidRDefault="00D4093E">
            <w:pPr>
              <w:keepNext/>
              <w:tabs>
                <w:tab w:val="left" w:pos="700"/>
              </w:tabs>
              <w:spacing w:before="30" w:after="0" w:line="250" w:lineRule="exact"/>
              <w:ind w:left="700" w:hanging="700"/>
              <w:jc w:val="left"/>
              <w:rPr>
                <w:lang w:val="es-PE"/>
              </w:rPr>
            </w:pPr>
            <w:hyperlink w:anchor="_Idx_6_2" w:history="1">
              <w:r w:rsidRPr="009937AD">
                <w:rPr>
                  <w:b/>
                  <w:color w:val="404040"/>
                  <w:lang w:val="es-PE"/>
                </w:rPr>
                <w:t>6.2</w:t>
              </w:r>
              <w:r w:rsidRPr="009937AD">
                <w:rPr>
                  <w:b/>
                  <w:color w:val="404040"/>
                  <w:lang w:val="es-PE"/>
                </w:rPr>
                <w:tab/>
              </w:r>
              <w:r w:rsidRPr="009937AD">
                <w:rPr>
                  <w:color w:val="404040"/>
                  <w:lang w:val="es-PE"/>
                </w:rPr>
                <w:t>Asegurar la oferta</w:t>
              </w:r>
            </w:hyperlink>
          </w:p>
          <w:p w14:paraId="37EE3229" w14:textId="77777777" w:rsidR="00C75A27" w:rsidRPr="00786EA0" w:rsidRDefault="00D4093E">
            <w:pPr>
              <w:keepNext/>
              <w:tabs>
                <w:tab w:val="left" w:pos="700"/>
              </w:tabs>
              <w:spacing w:before="30" w:after="0" w:line="250" w:lineRule="exact"/>
              <w:ind w:left="700" w:hanging="700"/>
              <w:jc w:val="left"/>
              <w:rPr>
                <w:lang w:val="es-PE"/>
              </w:rPr>
            </w:pPr>
            <w:hyperlink w:anchor="_Idx_6_3" w:history="1">
              <w:r w:rsidRPr="009937AD">
                <w:rPr>
                  <w:b/>
                  <w:color w:val="404040"/>
                  <w:lang w:val="es-PE"/>
                </w:rPr>
                <w:t>6.3</w:t>
              </w:r>
              <w:r w:rsidRPr="009937AD">
                <w:rPr>
                  <w:b/>
                  <w:color w:val="404040"/>
                  <w:lang w:val="es-PE"/>
                </w:rPr>
                <w:tab/>
              </w:r>
              <w:r w:rsidRPr="009937AD">
                <w:rPr>
                  <w:color w:val="404040"/>
                  <w:lang w:val="es-PE"/>
                </w:rPr>
                <w:t>Predictibilidad y viabilidad para la continuidad de las inversiones</w:t>
              </w:r>
            </w:hyperlink>
          </w:p>
          <w:p w14:paraId="4807316D" w14:textId="77777777" w:rsidR="00C75A27" w:rsidRDefault="00D4093E">
            <w:pPr>
              <w:keepNext/>
              <w:tabs>
                <w:tab w:val="left" w:pos="700"/>
              </w:tabs>
              <w:spacing w:before="30" w:after="0" w:line="250" w:lineRule="exact"/>
              <w:ind w:left="700" w:hanging="700"/>
              <w:jc w:val="left"/>
            </w:pPr>
            <w:hyperlink w:anchor="_Idx_6_4" w:history="1">
              <w:r>
                <w:rPr>
                  <w:rFonts w:eastAsia="Arial" w:cs="Arial"/>
                  <w:b/>
                  <w:color w:val="404040"/>
                </w:rPr>
                <w:t>6.4</w:t>
              </w:r>
              <w:r>
                <w:rPr>
                  <w:rFonts w:eastAsia="Arial" w:cs="Arial"/>
                  <w:b/>
                  <w:color w:val="404040"/>
                </w:rPr>
                <w:tab/>
              </w:r>
              <w:r>
                <w:rPr>
                  <w:rFonts w:eastAsia="Arial" w:cs="Arial"/>
                  <w:color w:val="404040"/>
                </w:rPr>
                <w:t>Otros retos y propuestas</w:t>
              </w:r>
            </w:hyperlink>
          </w:p>
        </w:tc>
      </w:tr>
      <w:tr w:rsidR="00C75A27" w:rsidRPr="00013575" w14:paraId="47365CC5" w14:textId="77777777">
        <w:trPr>
          <w:cantSplit/>
        </w:trPr>
        <w:tc>
          <w:tcPr>
            <w:tcW w:w="864" w:type="dxa"/>
            <w:tcBorders>
              <w:bottom w:val="single" w:sz="6" w:space="0" w:color="D9D9D9"/>
            </w:tcBorders>
          </w:tcPr>
          <w:p w14:paraId="34B24FCD" w14:textId="77777777" w:rsidR="00C75A27" w:rsidRDefault="00D4093E">
            <w:pPr>
              <w:keepNext/>
              <w:spacing w:before="110" w:after="0"/>
              <w:jc w:val="left"/>
            </w:pPr>
            <w:hyperlink w:anchor="_Toc235083045" w:history="1">
              <w:r>
                <w:rPr>
                  <w:rFonts w:eastAsia="Arial" w:cs="Arial"/>
                  <w:b/>
                  <w:color w:val="1F3864"/>
                  <w:sz w:val="38"/>
                </w:rPr>
                <w:t>7</w:t>
              </w:r>
            </w:hyperlink>
          </w:p>
        </w:tc>
        <w:tc>
          <w:tcPr>
            <w:tcW w:w="7640" w:type="dxa"/>
            <w:tcBorders>
              <w:bottom w:val="single" w:sz="6" w:space="0" w:color="D9D9D9"/>
            </w:tcBorders>
          </w:tcPr>
          <w:p w14:paraId="37AC3ECB" w14:textId="77777777" w:rsidR="00C75A27" w:rsidRPr="00786EA0" w:rsidRDefault="00D4093E">
            <w:pPr>
              <w:keepNext/>
              <w:spacing w:before="140" w:after="0" w:line="290" w:lineRule="exact"/>
              <w:jc w:val="left"/>
              <w:rPr>
                <w:lang w:val="es-PE"/>
              </w:rPr>
            </w:pPr>
            <w:hyperlink w:anchor="_Toc235083045" w:history="1">
              <w:r w:rsidRPr="009937AD">
                <w:rPr>
                  <w:b/>
                  <w:color w:val="1F3864"/>
                  <w:sz w:val="25"/>
                  <w:lang w:val="es-PE"/>
                </w:rPr>
                <w:t>El gas natural en el contexto internacional</w:t>
              </w:r>
            </w:hyperlink>
          </w:p>
          <w:p w14:paraId="65F1CAFC" w14:textId="77777777" w:rsidR="00C75A27" w:rsidRPr="00786EA0" w:rsidRDefault="00D4093E">
            <w:pPr>
              <w:keepNext/>
              <w:tabs>
                <w:tab w:val="left" w:pos="700"/>
              </w:tabs>
              <w:spacing w:before="80" w:after="0" w:line="250" w:lineRule="exact"/>
              <w:ind w:left="700" w:hanging="700"/>
              <w:jc w:val="left"/>
              <w:rPr>
                <w:lang w:val="es-PE"/>
              </w:rPr>
            </w:pPr>
            <w:hyperlink w:anchor="_Toc235083046" w:history="1">
              <w:r w:rsidRPr="009937AD">
                <w:rPr>
                  <w:b/>
                  <w:color w:val="404040"/>
                  <w:lang w:val="es-PE"/>
                </w:rPr>
                <w:t>7.1</w:t>
              </w:r>
              <w:r w:rsidRPr="009937AD">
                <w:rPr>
                  <w:b/>
                  <w:color w:val="404040"/>
                  <w:lang w:val="es-PE"/>
                </w:rPr>
                <w:tab/>
              </w:r>
              <w:r w:rsidRPr="009937AD">
                <w:rPr>
                  <w:color w:val="404040"/>
                  <w:lang w:val="es-PE"/>
                </w:rPr>
                <w:t>Matriz energética mundial</w:t>
              </w:r>
            </w:hyperlink>
          </w:p>
          <w:p w14:paraId="08050C34" w14:textId="77777777" w:rsidR="00C75A27" w:rsidRPr="00786EA0" w:rsidRDefault="00D4093E">
            <w:pPr>
              <w:keepNext/>
              <w:tabs>
                <w:tab w:val="left" w:pos="700"/>
              </w:tabs>
              <w:spacing w:before="30" w:after="0" w:line="250" w:lineRule="exact"/>
              <w:ind w:left="700" w:hanging="700"/>
              <w:jc w:val="left"/>
              <w:rPr>
                <w:lang w:val="es-PE"/>
              </w:rPr>
            </w:pPr>
            <w:hyperlink w:anchor="_Toc235083047" w:history="1">
              <w:r w:rsidRPr="009937AD">
                <w:rPr>
                  <w:b/>
                  <w:color w:val="404040"/>
                  <w:lang w:val="es-PE"/>
                </w:rPr>
                <w:t>7.2</w:t>
              </w:r>
              <w:r w:rsidRPr="009937AD">
                <w:rPr>
                  <w:b/>
                  <w:color w:val="404040"/>
                  <w:lang w:val="es-PE"/>
                </w:rPr>
                <w:tab/>
              </w:r>
              <w:r w:rsidRPr="009937AD">
                <w:rPr>
                  <w:color w:val="404040"/>
                  <w:lang w:val="es-PE"/>
                </w:rPr>
                <w:t>Emisiones de CO₂</w:t>
              </w:r>
            </w:hyperlink>
          </w:p>
          <w:p w14:paraId="44B1D486" w14:textId="77777777" w:rsidR="00C75A27" w:rsidRPr="00786EA0" w:rsidRDefault="00D4093E">
            <w:pPr>
              <w:keepNext/>
              <w:tabs>
                <w:tab w:val="left" w:pos="700"/>
              </w:tabs>
              <w:spacing w:before="30" w:after="0" w:line="250" w:lineRule="exact"/>
              <w:ind w:left="700" w:hanging="700"/>
              <w:jc w:val="left"/>
              <w:rPr>
                <w:lang w:val="es-PE"/>
              </w:rPr>
            </w:pPr>
            <w:hyperlink w:anchor="_Toc235083048" w:history="1">
              <w:r w:rsidRPr="009937AD">
                <w:rPr>
                  <w:b/>
                  <w:color w:val="404040"/>
                  <w:lang w:val="es-PE"/>
                </w:rPr>
                <w:t>7.3</w:t>
              </w:r>
              <w:r w:rsidRPr="009937AD">
                <w:rPr>
                  <w:b/>
                  <w:color w:val="404040"/>
                  <w:lang w:val="es-PE"/>
                </w:rPr>
                <w:tab/>
              </w:r>
              <w:r w:rsidRPr="009937AD">
                <w:rPr>
                  <w:color w:val="404040"/>
                  <w:lang w:val="es-PE"/>
                </w:rPr>
                <w:t>Reservas de gas natural</w:t>
              </w:r>
            </w:hyperlink>
          </w:p>
          <w:p w14:paraId="7532E3E8" w14:textId="77777777" w:rsidR="00C75A27" w:rsidRPr="00786EA0" w:rsidRDefault="00D4093E">
            <w:pPr>
              <w:keepNext/>
              <w:tabs>
                <w:tab w:val="left" w:pos="700"/>
              </w:tabs>
              <w:spacing w:before="30" w:after="0" w:line="250" w:lineRule="exact"/>
              <w:ind w:left="700" w:hanging="700"/>
              <w:jc w:val="left"/>
              <w:rPr>
                <w:lang w:val="es-PE"/>
              </w:rPr>
            </w:pPr>
            <w:hyperlink w:anchor="_Toc235083049" w:history="1">
              <w:r w:rsidRPr="009937AD">
                <w:rPr>
                  <w:b/>
                  <w:color w:val="404040"/>
                  <w:lang w:val="es-PE"/>
                </w:rPr>
                <w:t>7.4</w:t>
              </w:r>
              <w:r w:rsidRPr="009937AD">
                <w:rPr>
                  <w:b/>
                  <w:color w:val="404040"/>
                  <w:lang w:val="es-PE"/>
                </w:rPr>
                <w:tab/>
              </w:r>
              <w:r w:rsidRPr="009937AD">
                <w:rPr>
                  <w:color w:val="404040"/>
                  <w:lang w:val="es-PE"/>
                </w:rPr>
                <w:t>Producción de gas natural</w:t>
              </w:r>
            </w:hyperlink>
          </w:p>
          <w:p w14:paraId="3C5E2335" w14:textId="77777777" w:rsidR="00C75A27" w:rsidRPr="00786EA0" w:rsidRDefault="00D4093E">
            <w:pPr>
              <w:keepNext/>
              <w:tabs>
                <w:tab w:val="left" w:pos="700"/>
              </w:tabs>
              <w:spacing w:before="30" w:after="0" w:line="250" w:lineRule="exact"/>
              <w:ind w:left="700" w:hanging="700"/>
              <w:jc w:val="left"/>
              <w:rPr>
                <w:lang w:val="es-PE"/>
              </w:rPr>
            </w:pPr>
            <w:hyperlink w:anchor="_Toc235083050" w:history="1">
              <w:r w:rsidRPr="009937AD">
                <w:rPr>
                  <w:b/>
                  <w:color w:val="404040"/>
                  <w:lang w:val="es-PE"/>
                </w:rPr>
                <w:t>7.5</w:t>
              </w:r>
              <w:r w:rsidRPr="009937AD">
                <w:rPr>
                  <w:b/>
                  <w:color w:val="404040"/>
                  <w:lang w:val="es-PE"/>
                </w:rPr>
                <w:tab/>
              </w:r>
              <w:r w:rsidRPr="009937AD">
                <w:rPr>
                  <w:color w:val="404040"/>
                  <w:lang w:val="es-PE"/>
                </w:rPr>
                <w:t>Consumo de gas natural</w:t>
              </w:r>
            </w:hyperlink>
          </w:p>
          <w:p w14:paraId="02797FB3" w14:textId="77777777" w:rsidR="00C75A27" w:rsidRPr="00786EA0" w:rsidRDefault="00D4093E">
            <w:pPr>
              <w:keepNext/>
              <w:tabs>
                <w:tab w:val="left" w:pos="700"/>
              </w:tabs>
              <w:spacing w:before="30" w:after="0" w:line="250" w:lineRule="exact"/>
              <w:ind w:left="700" w:hanging="700"/>
              <w:jc w:val="left"/>
              <w:rPr>
                <w:lang w:val="es-PE"/>
              </w:rPr>
            </w:pPr>
            <w:hyperlink w:anchor="_Toc235083051" w:history="1">
              <w:r w:rsidRPr="009937AD">
                <w:rPr>
                  <w:b/>
                  <w:color w:val="404040"/>
                  <w:lang w:val="es-PE"/>
                </w:rPr>
                <w:t>7.6</w:t>
              </w:r>
              <w:r w:rsidRPr="009937AD">
                <w:rPr>
                  <w:b/>
                  <w:color w:val="404040"/>
                  <w:lang w:val="es-PE"/>
                </w:rPr>
                <w:tab/>
              </w:r>
              <w:r w:rsidRPr="009937AD">
                <w:rPr>
                  <w:color w:val="404040"/>
                  <w:lang w:val="es-PE"/>
                </w:rPr>
                <w:t xml:space="preserve">Precios internacionales del gas natural y de otros </w:t>
              </w:r>
              <w:r w:rsidRPr="004F3DB7">
                <w:rPr>
                  <w:i/>
                  <w:iCs/>
                  <w:color w:val="404040"/>
                  <w:lang w:val="es-PE"/>
                </w:rPr>
                <w:t xml:space="preserve">commodities </w:t>
              </w:r>
              <w:r w:rsidRPr="009937AD">
                <w:rPr>
                  <w:color w:val="404040"/>
                  <w:lang w:val="es-PE"/>
                </w:rPr>
                <w:t>energéticos</w:t>
              </w:r>
            </w:hyperlink>
          </w:p>
          <w:p w14:paraId="0A24A888" w14:textId="77777777" w:rsidR="00C75A27" w:rsidRPr="00786EA0" w:rsidRDefault="00D4093E">
            <w:pPr>
              <w:keepNext/>
              <w:tabs>
                <w:tab w:val="left" w:pos="700"/>
              </w:tabs>
              <w:spacing w:before="30" w:after="0" w:line="250" w:lineRule="exact"/>
              <w:ind w:left="700" w:hanging="700"/>
              <w:jc w:val="left"/>
              <w:rPr>
                <w:lang w:val="es-PE"/>
              </w:rPr>
            </w:pPr>
            <w:hyperlink w:anchor="_Toc235083052" w:history="1">
              <w:r w:rsidRPr="009937AD">
                <w:rPr>
                  <w:b/>
                  <w:color w:val="404040"/>
                  <w:lang w:val="es-PE"/>
                </w:rPr>
                <w:t>7.7</w:t>
              </w:r>
              <w:r w:rsidRPr="009937AD">
                <w:rPr>
                  <w:b/>
                  <w:color w:val="404040"/>
                  <w:lang w:val="es-PE"/>
                </w:rPr>
                <w:tab/>
              </w:r>
              <w:r w:rsidRPr="009937AD">
                <w:rPr>
                  <w:color w:val="404040"/>
                  <w:lang w:val="es-PE"/>
                </w:rPr>
                <w:t>Comercio internacional de gas natural</w:t>
              </w:r>
            </w:hyperlink>
          </w:p>
          <w:p w14:paraId="3B622D38" w14:textId="77777777" w:rsidR="00C75A27" w:rsidRPr="00786EA0" w:rsidRDefault="00D4093E">
            <w:pPr>
              <w:keepNext/>
              <w:tabs>
                <w:tab w:val="left" w:pos="700"/>
              </w:tabs>
              <w:spacing w:before="30" w:after="0" w:line="250" w:lineRule="exact"/>
              <w:ind w:left="700" w:hanging="700"/>
              <w:jc w:val="left"/>
              <w:rPr>
                <w:lang w:val="es-PE"/>
              </w:rPr>
            </w:pPr>
            <w:hyperlink w:anchor="_Toc235083055" w:history="1">
              <w:r w:rsidRPr="009937AD">
                <w:rPr>
                  <w:b/>
                  <w:color w:val="404040"/>
                  <w:lang w:val="es-PE"/>
                </w:rPr>
                <w:t>7.8</w:t>
              </w:r>
              <w:r w:rsidRPr="009937AD">
                <w:rPr>
                  <w:b/>
                  <w:color w:val="404040"/>
                  <w:lang w:val="es-PE"/>
                </w:rPr>
                <w:tab/>
              </w:r>
              <w:r w:rsidRPr="009937AD">
                <w:rPr>
                  <w:color w:val="404040"/>
                  <w:lang w:val="es-PE"/>
                </w:rPr>
                <w:t>Cifras de Sur y Centroamérica</w:t>
              </w:r>
            </w:hyperlink>
          </w:p>
          <w:p w14:paraId="406D9693" w14:textId="77777777" w:rsidR="00C75A27" w:rsidRPr="00B4606A" w:rsidRDefault="00D4093E">
            <w:pPr>
              <w:keepNext/>
              <w:tabs>
                <w:tab w:val="left" w:pos="700"/>
              </w:tabs>
              <w:spacing w:before="30" w:after="0" w:line="250" w:lineRule="exact"/>
              <w:ind w:left="700" w:hanging="700"/>
              <w:jc w:val="left"/>
              <w:rPr>
                <w:lang w:val="es-PE"/>
              </w:rPr>
            </w:pPr>
            <w:hyperlink w:anchor="_Toc235083056" w:history="1">
              <w:r w:rsidRPr="00B4606A">
                <w:rPr>
                  <w:rFonts w:eastAsia="Arial" w:cs="Arial"/>
                  <w:b/>
                  <w:color w:val="404040"/>
                  <w:lang w:val="es-PE"/>
                </w:rPr>
                <w:t>7.9</w:t>
              </w:r>
              <w:r w:rsidRPr="00B4606A">
                <w:rPr>
                  <w:rFonts w:eastAsia="Arial" w:cs="Arial"/>
                  <w:b/>
                  <w:color w:val="404040"/>
                  <w:lang w:val="es-PE"/>
                </w:rPr>
                <w:tab/>
              </w:r>
              <w:r w:rsidRPr="00B4606A">
                <w:rPr>
                  <w:rFonts w:eastAsia="Arial" w:cs="Arial"/>
                  <w:color w:val="404040"/>
                  <w:lang w:val="es-PE"/>
                </w:rPr>
                <w:t>Cifras en Norteamérica</w:t>
              </w:r>
            </w:hyperlink>
          </w:p>
        </w:tc>
      </w:tr>
      <w:tr w:rsidR="00C75A27" w:rsidRPr="001D477C" w14:paraId="5C11253B" w14:textId="77777777">
        <w:trPr>
          <w:cantSplit/>
        </w:trPr>
        <w:tc>
          <w:tcPr>
            <w:tcW w:w="864" w:type="dxa"/>
          </w:tcPr>
          <w:p w14:paraId="0B91C377" w14:textId="77777777" w:rsidR="00C75A27" w:rsidRDefault="00D4093E">
            <w:pPr>
              <w:keepNext/>
              <w:spacing w:before="110" w:after="0"/>
              <w:jc w:val="left"/>
            </w:pPr>
            <w:hyperlink w:anchor="_Idx_8" w:history="1">
              <w:r>
                <w:rPr>
                  <w:rFonts w:eastAsia="Arial" w:cs="Arial"/>
                  <w:b/>
                  <w:color w:val="1F3864"/>
                  <w:sz w:val="38"/>
                </w:rPr>
                <w:t>8</w:t>
              </w:r>
            </w:hyperlink>
          </w:p>
        </w:tc>
        <w:tc>
          <w:tcPr>
            <w:tcW w:w="7640" w:type="dxa"/>
          </w:tcPr>
          <w:p w14:paraId="72047429" w14:textId="77777777" w:rsidR="00C75A27" w:rsidRPr="00786EA0" w:rsidRDefault="00D4093E">
            <w:pPr>
              <w:keepNext/>
              <w:spacing w:before="140" w:after="0" w:line="290" w:lineRule="exact"/>
              <w:jc w:val="left"/>
              <w:rPr>
                <w:lang w:val="es-PE"/>
              </w:rPr>
            </w:pPr>
            <w:hyperlink w:anchor="_Idx_8" w:history="1">
              <w:r w:rsidRPr="009937AD">
                <w:rPr>
                  <w:b/>
                  <w:color w:val="1F3864"/>
                  <w:sz w:val="25"/>
                  <w:lang w:val="es-PE"/>
                </w:rPr>
                <w:t>Anexos</w:t>
              </w:r>
            </w:hyperlink>
          </w:p>
          <w:p w14:paraId="2FE9311F" w14:textId="77777777" w:rsidR="00C75A27" w:rsidRPr="00786EA0" w:rsidRDefault="00D4093E">
            <w:pPr>
              <w:keepNext/>
              <w:tabs>
                <w:tab w:val="left" w:pos="700"/>
              </w:tabs>
              <w:spacing w:before="80" w:after="0" w:line="250" w:lineRule="exact"/>
              <w:ind w:left="700" w:hanging="700"/>
              <w:jc w:val="left"/>
              <w:rPr>
                <w:lang w:val="es-PE"/>
              </w:rPr>
            </w:pPr>
            <w:hyperlink w:anchor="_Idx_8_1" w:history="1">
              <w:r w:rsidRPr="009937AD">
                <w:rPr>
                  <w:b/>
                  <w:color w:val="404040"/>
                  <w:lang w:val="es-PE"/>
                </w:rPr>
                <w:t>8.1</w:t>
              </w:r>
              <w:r w:rsidRPr="009937AD">
                <w:rPr>
                  <w:b/>
                  <w:color w:val="404040"/>
                  <w:lang w:val="es-PE"/>
                </w:rPr>
                <w:tab/>
              </w:r>
              <w:r w:rsidRPr="009937AD">
                <w:rPr>
                  <w:color w:val="404040"/>
                  <w:lang w:val="es-PE"/>
                </w:rPr>
                <w:t>Glosario de términos, abreviaturas y siglas</w:t>
              </w:r>
            </w:hyperlink>
          </w:p>
          <w:p w14:paraId="200E3F37" w14:textId="77777777" w:rsidR="00C75A27" w:rsidRPr="00786EA0" w:rsidRDefault="00D4093E">
            <w:pPr>
              <w:keepNext/>
              <w:tabs>
                <w:tab w:val="left" w:pos="700"/>
              </w:tabs>
              <w:spacing w:before="30" w:after="0" w:line="250" w:lineRule="exact"/>
              <w:ind w:left="700" w:hanging="700"/>
              <w:jc w:val="left"/>
              <w:rPr>
                <w:lang w:val="es-PE"/>
              </w:rPr>
            </w:pPr>
            <w:hyperlink w:anchor="_Idx_8_2" w:history="1">
              <w:r w:rsidRPr="009937AD">
                <w:rPr>
                  <w:b/>
                  <w:color w:val="404040"/>
                  <w:lang w:val="es-PE"/>
                </w:rPr>
                <w:t>8.2</w:t>
              </w:r>
              <w:r w:rsidRPr="009937AD">
                <w:rPr>
                  <w:b/>
                  <w:color w:val="404040"/>
                  <w:lang w:val="es-PE"/>
                </w:rPr>
                <w:tab/>
              </w:r>
              <w:r w:rsidRPr="009937AD">
                <w:rPr>
                  <w:color w:val="404040"/>
                  <w:lang w:val="es-PE"/>
                </w:rPr>
                <w:t>Directorio nacional</w:t>
              </w:r>
            </w:hyperlink>
          </w:p>
          <w:p w14:paraId="5D9BE95C" w14:textId="77777777" w:rsidR="00C75A27" w:rsidRPr="00786EA0" w:rsidRDefault="00D4093E">
            <w:pPr>
              <w:keepNext/>
              <w:tabs>
                <w:tab w:val="left" w:pos="700"/>
              </w:tabs>
              <w:spacing w:before="30" w:after="0" w:line="250" w:lineRule="exact"/>
              <w:ind w:left="700" w:hanging="700"/>
              <w:jc w:val="left"/>
              <w:rPr>
                <w:lang w:val="es-PE"/>
              </w:rPr>
            </w:pPr>
            <w:hyperlink w:anchor="_Idx_8_3" w:history="1">
              <w:r w:rsidRPr="009937AD">
                <w:rPr>
                  <w:b/>
                  <w:color w:val="404040"/>
                  <w:lang w:val="es-PE"/>
                </w:rPr>
                <w:t>8.3</w:t>
              </w:r>
              <w:r w:rsidRPr="009937AD">
                <w:rPr>
                  <w:b/>
                  <w:color w:val="404040"/>
                  <w:lang w:val="es-PE"/>
                </w:rPr>
                <w:tab/>
              </w:r>
              <w:r w:rsidRPr="009937AD">
                <w:rPr>
                  <w:color w:val="404040"/>
                  <w:lang w:val="es-PE"/>
                </w:rPr>
                <w:t>Bibliografía</w:t>
              </w:r>
            </w:hyperlink>
          </w:p>
          <w:p w14:paraId="41545A18" w14:textId="77777777" w:rsidR="00C75A27" w:rsidRPr="00786EA0" w:rsidRDefault="00D4093E">
            <w:pPr>
              <w:keepNext/>
              <w:tabs>
                <w:tab w:val="left" w:pos="700"/>
              </w:tabs>
              <w:spacing w:before="30" w:after="0" w:line="250" w:lineRule="exact"/>
              <w:ind w:left="700" w:hanging="700"/>
              <w:jc w:val="left"/>
              <w:rPr>
                <w:lang w:val="es-PE"/>
              </w:rPr>
            </w:pPr>
            <w:hyperlink w:anchor="_Idx_8_4" w:history="1">
              <w:r w:rsidRPr="009937AD">
                <w:rPr>
                  <w:b/>
                  <w:color w:val="404040"/>
                  <w:lang w:val="es-PE"/>
                </w:rPr>
                <w:t>8.4</w:t>
              </w:r>
              <w:r w:rsidRPr="009937AD">
                <w:rPr>
                  <w:b/>
                  <w:color w:val="404040"/>
                  <w:lang w:val="es-PE"/>
                </w:rPr>
                <w:tab/>
              </w:r>
              <w:r w:rsidRPr="009937AD">
                <w:rPr>
                  <w:color w:val="404040"/>
                  <w:lang w:val="es-PE"/>
                </w:rPr>
                <w:t>Factores de conversión entre combustibles</w:t>
              </w:r>
            </w:hyperlink>
          </w:p>
        </w:tc>
      </w:tr>
    </w:tbl>
    <w:p w14:paraId="22F65A23" w14:textId="77777777" w:rsidR="0093052E" w:rsidRPr="00552E6B" w:rsidRDefault="00A37447">
      <w:pPr>
        <w:pStyle w:val="Ttulo1"/>
        <w:pageBreakBefore/>
        <w:rPr>
          <w:lang w:val="es-PE"/>
        </w:rPr>
      </w:pPr>
      <w:bookmarkStart w:id="0" w:name="_Idx_1"/>
      <w:r w:rsidRPr="00552E6B">
        <w:rPr>
          <w:lang w:val="es-PE"/>
        </w:rPr>
        <w:lastRenderedPageBreak/>
        <w:t>1. Introducción</w:t>
      </w:r>
      <w:bookmarkEnd w:id="0"/>
    </w:p>
    <w:p w14:paraId="7694D681" w14:textId="37BB22FF" w:rsidR="00A37447" w:rsidRPr="00552E6B" w:rsidRDefault="00A37447">
      <w:pPr>
        <w:keepNext/>
        <w:keepLines/>
        <w:rPr>
          <w:lang w:val="es-PE"/>
        </w:rPr>
      </w:pPr>
      <w:r w:rsidRPr="00552E6B">
        <w:rPr>
          <w:lang w:val="es-PE"/>
        </w:rPr>
        <w:t>Esta es la undécima edición del Informe del Sector Gas Natural en el Perú. Desde su primera publicación en 2016, el documento mantiene el mismo propósito: reunir en un solo lugar las cifras del sector, con una metodología estable que permita compararlas año a año, y acompañar con información técnica y confiable el proceso de masificación del gas natural en el país.</w:t>
      </w:r>
    </w:p>
    <w:p w14:paraId="3E0AE3C8" w14:textId="753E256B" w:rsidR="00A37447" w:rsidRPr="00552E6B" w:rsidRDefault="00A37447">
      <w:pPr>
        <w:keepLines/>
        <w:rPr>
          <w:lang w:val="es-PE"/>
        </w:rPr>
      </w:pPr>
      <w:r w:rsidRPr="00552E6B">
        <w:rPr>
          <w:lang w:val="es-PE"/>
        </w:rPr>
        <w:t xml:space="preserve">El balance de 2025 tiene dos caras. Por un lado, el país se acerca a los 2,6 millones de conexiones de gas natural </w:t>
      </w:r>
      <w:r>
        <w:rPr>
          <w:lang w:val="es-PE"/>
        </w:rPr>
        <w:t>–</w:t>
      </w:r>
      <w:r w:rsidRPr="00552E6B">
        <w:rPr>
          <w:lang w:val="es-PE"/>
        </w:rPr>
        <w:t>el doble que hace cinco años</w:t>
      </w:r>
      <w:r>
        <w:rPr>
          <w:lang w:val="es-PE"/>
        </w:rPr>
        <w:t>–</w:t>
      </w:r>
      <w:r w:rsidRPr="00552E6B">
        <w:rPr>
          <w:lang w:val="es-PE"/>
        </w:rPr>
        <w:t xml:space="preserve"> y uno de cada cuatro hogares peruanos vive hoy en una vivienda con acceso al servicio. Por otro, el sector atraviesa un periodo de turbulencia que no se puede ignorar. El factor más importante son los procesos tarifarios restrictivos: las revisiones de tarifas de las concesiones regionales redujeron de manera pronunciada la remuneración de inversiones ya ejecutadas y frenaron la expansión de sus redes. El resultado fue un avance mucho más lento de la masificación, especialmente fuera de Lima y Callao, donde la cobertura apenas bordea el 7 % de la población. El freno recayó así sobre el eslabón más rezagado: sin previsibilidad regulatoria no hay inversión, y sin inversión no hay nuevas familias, comercios ni industrias conectadas.</w:t>
      </w:r>
    </w:p>
    <w:p w14:paraId="6E8246E6" w14:textId="592E5BDB" w:rsidR="00A37447" w:rsidRPr="00552E6B" w:rsidRDefault="00A37447">
      <w:pPr>
        <w:keepLines/>
        <w:rPr>
          <w:lang w:val="es-PE"/>
        </w:rPr>
      </w:pPr>
      <w:r w:rsidRPr="00552E6B">
        <w:rPr>
          <w:lang w:val="es-PE"/>
        </w:rPr>
        <w:t xml:space="preserve">En esta edición de InfoGas proponemos una mirada a los retos pendientes y las oportunidades para retomar la senda de la masificación, considerando que el país vive un momento clave. El Gobierno que inicia su mandato se ha pronunciado a favor del gas natural: su programa lo define como alternativa estratégica, fija la masificación como prioridad y se propone reducir la dependencia de combustibles importados. El contexto internacional refuerza esa urgencia. El incremento sustancial del precio de los combustibles afecta a familias y empresas, y vuelve más valiosa una energía que se produce en el país, cuesta y contamina menos. El </w:t>
      </w:r>
      <w:r>
        <w:rPr>
          <w:lang w:val="es-PE"/>
        </w:rPr>
        <w:t>f</w:t>
      </w:r>
      <w:r w:rsidRPr="00552E6B">
        <w:rPr>
          <w:lang w:val="es-PE"/>
        </w:rPr>
        <w:t xml:space="preserve">enómeno </w:t>
      </w:r>
      <w:r>
        <w:rPr>
          <w:lang w:val="es-PE"/>
        </w:rPr>
        <w:t xml:space="preserve">de </w:t>
      </w:r>
      <w:r w:rsidRPr="00552E6B">
        <w:rPr>
          <w:lang w:val="es-PE"/>
        </w:rPr>
        <w:t xml:space="preserve">El Niño previsto para el verano 2026-2027 recuerda, además, el papel del gas natural como respaldo del </w:t>
      </w:r>
      <w:r>
        <w:rPr>
          <w:lang w:val="es-PE"/>
        </w:rPr>
        <w:t>S</w:t>
      </w:r>
      <w:r w:rsidRPr="00552E6B">
        <w:rPr>
          <w:lang w:val="es-PE"/>
        </w:rPr>
        <w:t xml:space="preserve">istema </w:t>
      </w:r>
      <w:r>
        <w:rPr>
          <w:lang w:val="es-PE"/>
        </w:rPr>
        <w:t>E</w:t>
      </w:r>
      <w:r w:rsidRPr="00552E6B">
        <w:rPr>
          <w:lang w:val="es-PE"/>
        </w:rPr>
        <w:t xml:space="preserve">léctrico. Las alternativas para retomar ese ritmo </w:t>
      </w:r>
      <w:r>
        <w:rPr>
          <w:lang w:val="es-PE"/>
        </w:rPr>
        <w:t>–</w:t>
      </w:r>
      <w:r w:rsidRPr="00552E6B">
        <w:rPr>
          <w:lang w:val="es-PE"/>
        </w:rPr>
        <w:t>nuevos proyectos de transporte y distribución, y reglas que den previsibilidad a la inversión</w:t>
      </w:r>
      <w:r>
        <w:rPr>
          <w:lang w:val="es-PE"/>
        </w:rPr>
        <w:t>–</w:t>
      </w:r>
      <w:r w:rsidRPr="00552E6B">
        <w:rPr>
          <w:lang w:val="es-PE"/>
        </w:rPr>
        <w:t xml:space="preserve"> ya están formuladas y se desarrolla</w:t>
      </w:r>
      <w:r>
        <w:rPr>
          <w:lang w:val="es-PE"/>
        </w:rPr>
        <w:t>rá</w:t>
      </w:r>
      <w:r w:rsidRPr="00552E6B">
        <w:rPr>
          <w:lang w:val="es-PE"/>
        </w:rPr>
        <w:t>n en las páginas siguientes.</w:t>
      </w:r>
    </w:p>
    <w:p w14:paraId="16E6CA7C" w14:textId="77777777" w:rsidR="00A37447" w:rsidRPr="00552E6B" w:rsidRDefault="00A37447">
      <w:pPr>
        <w:keepLines/>
        <w:rPr>
          <w:lang w:val="es-PE"/>
        </w:rPr>
      </w:pPr>
      <w:r w:rsidRPr="00552E6B">
        <w:rPr>
          <w:lang w:val="es-PE"/>
        </w:rPr>
        <w:t>Como en ediciones anteriores, este informe combina el análisis riguroso de las cifras del sector con una revisión de los hechos y las discusiones del último año, y dedica un capítulo a las oportunidades que el nuevo ciclo político abre para consolidar la masificación. Promigas agradece a las empresas, entidades públicas y especialistas que aportaron información para esta edición, y reafirma su compromiso de seguir contribuyendo con información confiable al desarrollo de una industria que acerca a más peruanos a una energía segura, competitiva y más limpia.</w:t>
      </w:r>
    </w:p>
    <w:p w14:paraId="2EF2C44D" w14:textId="77777777" w:rsidR="00A37447" w:rsidRPr="00552E6B" w:rsidRDefault="00A37447">
      <w:pPr>
        <w:rPr>
          <w:lang w:val="es-PE"/>
        </w:rPr>
      </w:pPr>
    </w:p>
    <w:p w14:paraId="0C9B9DBF" w14:textId="77777777" w:rsidR="00B313C1" w:rsidRPr="0006069A" w:rsidRDefault="00B313C1">
      <w:pPr>
        <w:keepNext/>
        <w:keepLines/>
        <w:rPr>
          <w:lang w:val="es-PE"/>
        </w:rPr>
      </w:pPr>
      <w:r w:rsidRPr="0006069A">
        <w:rPr>
          <w:b/>
          <w:lang w:val="es-PE"/>
        </w:rPr>
        <w:t>Juan Manuel Rojas Payán</w:t>
      </w:r>
    </w:p>
    <w:p w14:paraId="32617BDD" w14:textId="77777777" w:rsidR="00B313C1" w:rsidRPr="0006069A" w:rsidRDefault="00B313C1">
      <w:pPr>
        <w:keepNext/>
        <w:keepLines/>
        <w:rPr>
          <w:lang w:val="es-PE"/>
        </w:rPr>
      </w:pPr>
      <w:r w:rsidRPr="0006069A">
        <w:rPr>
          <w:lang w:val="es-PE"/>
        </w:rPr>
        <w:t>Presidente Promigas</w:t>
      </w:r>
    </w:p>
    <w:p w14:paraId="14EAD766" w14:textId="77777777" w:rsidR="0093052E" w:rsidRPr="00552E6B" w:rsidRDefault="00A37447">
      <w:pPr>
        <w:pStyle w:val="Ttulo1"/>
        <w:pageBreakBefore/>
        <w:rPr>
          <w:lang w:val="es-PE"/>
        </w:rPr>
      </w:pPr>
      <w:bookmarkStart w:id="1" w:name="_Idx_2"/>
      <w:r w:rsidRPr="00552E6B">
        <w:rPr>
          <w:lang w:val="es-PE"/>
        </w:rPr>
        <w:lastRenderedPageBreak/>
        <w:t>2. Resumen ejecutivo</w:t>
      </w:r>
      <w:bookmarkEnd w:id="1"/>
    </w:p>
    <w:p w14:paraId="483227DB" w14:textId="77777777" w:rsidR="00B313C1" w:rsidRPr="0006069A" w:rsidRDefault="00B313C1">
      <w:pPr>
        <w:keepNext/>
        <w:keepLines/>
        <w:spacing w:before="280" w:after="80"/>
        <w:rPr>
          <w:lang w:val="es-PE"/>
        </w:rPr>
      </w:pPr>
      <w:r w:rsidRPr="0006069A">
        <w:rPr>
          <w:b/>
          <w:color w:val="1F3864"/>
          <w:sz w:val="24"/>
          <w:lang w:val="es-PE"/>
        </w:rPr>
        <w:t>El entorno internacional y la economía peruana</w:t>
      </w:r>
    </w:p>
    <w:p w14:paraId="192105F9" w14:textId="6921E4C3" w:rsidR="00A37447" w:rsidRPr="00552E6B" w:rsidRDefault="00A37447">
      <w:pPr>
        <w:keepLines/>
        <w:rPr>
          <w:lang w:val="es-PE"/>
        </w:rPr>
      </w:pPr>
      <w:r w:rsidRPr="00552E6B">
        <w:rPr>
          <w:lang w:val="es-PE"/>
        </w:rPr>
        <w:t>En 2025</w:t>
      </w:r>
      <w:r>
        <w:rPr>
          <w:lang w:val="es-PE"/>
        </w:rPr>
        <w:t>,</w:t>
      </w:r>
      <w:r w:rsidRPr="00552E6B">
        <w:rPr>
          <w:lang w:val="es-PE"/>
        </w:rPr>
        <w:t xml:space="preserve"> el consumo mundial de energía alcanzó </w:t>
      </w:r>
      <w:r>
        <w:rPr>
          <w:lang w:val="es-PE"/>
        </w:rPr>
        <w:t>cerca de 600</w:t>
      </w:r>
      <w:r w:rsidRPr="00552E6B">
        <w:rPr>
          <w:lang w:val="es-PE"/>
        </w:rPr>
        <w:t xml:space="preserve"> exajoules, 1 % más que en 2024. Los combustibles fósiles siguen aportando cerca de 86 % del total</w:t>
      </w:r>
      <w:r w:rsidR="00FA7F47">
        <w:rPr>
          <w:lang w:val="es-PE"/>
        </w:rPr>
        <w:t xml:space="preserve">, en agregado </w:t>
      </w:r>
      <w:r>
        <w:rPr>
          <w:lang w:val="es-PE"/>
        </w:rPr>
        <w:t>–</w:t>
      </w:r>
      <w:r w:rsidRPr="00552E6B">
        <w:rPr>
          <w:lang w:val="es-PE"/>
        </w:rPr>
        <w:t>el gas natural, una cuarta parte de la matriz</w:t>
      </w:r>
      <w:r>
        <w:rPr>
          <w:lang w:val="es-PE"/>
        </w:rPr>
        <w:t>–</w:t>
      </w:r>
      <w:r w:rsidR="00AA666C">
        <w:rPr>
          <w:lang w:val="es-PE"/>
        </w:rPr>
        <w:t>. L</w:t>
      </w:r>
      <w:r w:rsidRPr="00552E6B">
        <w:rPr>
          <w:lang w:val="es-PE"/>
        </w:rPr>
        <w:t xml:space="preserve">as </w:t>
      </w:r>
      <w:r w:rsidR="00FA7F47">
        <w:rPr>
          <w:lang w:val="es-PE"/>
        </w:rPr>
        <w:t xml:space="preserve">energías </w:t>
      </w:r>
      <w:r w:rsidRPr="00552E6B">
        <w:rPr>
          <w:lang w:val="es-PE"/>
        </w:rPr>
        <w:t xml:space="preserve">renovables volvieron a crecer </w:t>
      </w:r>
      <w:r w:rsidR="00A82497">
        <w:rPr>
          <w:lang w:val="es-PE"/>
        </w:rPr>
        <w:t>a una tasa de cerca de</w:t>
      </w:r>
      <w:r w:rsidRPr="00552E6B">
        <w:rPr>
          <w:lang w:val="es-PE"/>
        </w:rPr>
        <w:t xml:space="preserve"> 10 %</w:t>
      </w:r>
      <w:r w:rsidR="00A82497">
        <w:rPr>
          <w:lang w:val="es-PE"/>
        </w:rPr>
        <w:t>, pero su participación permanece acotada en la matriz (cerca de 6</w:t>
      </w:r>
      <w:r>
        <w:rPr>
          <w:lang w:val="es-PE"/>
        </w:rPr>
        <w:t xml:space="preserve"> </w:t>
      </w:r>
      <w:r w:rsidR="00A82497">
        <w:rPr>
          <w:lang w:val="es-PE"/>
        </w:rPr>
        <w:t>%)</w:t>
      </w:r>
      <w:r w:rsidRPr="00552E6B">
        <w:rPr>
          <w:lang w:val="es-PE"/>
        </w:rPr>
        <w:t>. El avance del gas natural y de las renovables explica que, pese al mayor consumo, las emisiones globales asociadas a la energía se hayan mantenido prácticamente estables.</w:t>
      </w:r>
    </w:p>
    <w:p w14:paraId="26D08374" w14:textId="68D7295D" w:rsidR="00A37447" w:rsidRDefault="00A37447">
      <w:pPr>
        <w:spacing w:before="160"/>
        <w:jc w:val="center"/>
      </w:pPr>
      <w:r>
        <w:rPr>
          <w:noProof/>
        </w:rPr>
        <w:drawing>
          <wp:inline distT="0" distB="0" distL="0" distR="0" wp14:anchorId="7EE71670" wp14:editId="0254CB17">
            <wp:extent cx="4320000" cy="2726123"/>
            <wp:effectExtent l="0" t="0" r="0" b="0"/>
            <wp:docPr id="90015" name="Picture 9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2.png"/>
                    <pic:cNvPicPr/>
                  </pic:nvPicPr>
                  <pic:blipFill>
                    <a:blip r:embed="rId12"/>
                    <a:stretch>
                      <a:fillRect/>
                    </a:stretch>
                  </pic:blipFill>
                  <pic:spPr>
                    <a:xfrm>
                      <a:off x="0" y="0"/>
                      <a:ext cx="4320000" cy="2726123"/>
                    </a:xfrm>
                    <a:prstGeom prst="rect">
                      <a:avLst/>
                    </a:prstGeom>
                  </pic:spPr>
                </pic:pic>
              </a:graphicData>
            </a:graphic>
          </wp:inline>
        </w:drawing>
      </w:r>
    </w:p>
    <w:p w14:paraId="22EED708" w14:textId="699D5E3F" w:rsidR="00A37447" w:rsidRPr="00552E6B" w:rsidRDefault="4133C973">
      <w:pPr>
        <w:keepLines/>
        <w:rPr>
          <w:lang w:val="es-PE"/>
        </w:rPr>
      </w:pPr>
      <w:r w:rsidRPr="6A75BC5D">
        <w:rPr>
          <w:lang w:val="es-PE"/>
        </w:rPr>
        <w:t>En la economía local, t</w:t>
      </w:r>
      <w:r>
        <w:rPr>
          <w:lang w:val="es-PE"/>
        </w:rPr>
        <w:t xml:space="preserve">ras un 2024 de recuperación posterior al fenómeno de El Niño, 2025 se consolidó como un año de crecimiento con motores claros. La economía peruana creció 3,4 % y la demanda interna cerca de </w:t>
      </w:r>
      <w:r w:rsidR="3ED12C60" w:rsidRPr="6A75BC5D">
        <w:rPr>
          <w:lang w:val="es-PE"/>
        </w:rPr>
        <w:t>6</w:t>
      </w:r>
      <w:r>
        <w:rPr>
          <w:lang w:val="es-PE"/>
        </w:rPr>
        <w:t xml:space="preserve"> %, su mayor tasa en 12 años sin contar el rebote </w:t>
      </w:r>
      <w:r w:rsidR="6CE6B1C6" w:rsidRPr="6A75BC5D">
        <w:rPr>
          <w:lang w:val="es-PE"/>
        </w:rPr>
        <w:t>pospandemia, impulsada por la inversión privada, que avanzó 10 %, por el rebote de la agroexportación y por el récord de las exportaciones mineras. El empleo formal creció 6 % y la inflación cerró en 1,5 %, dentro del rango meta. En ese contexto, el consumo final de energía del país aumentó 4 %, pero el gas natural retrocedió 3 %. La caída se explica principalmente por la regularización de la demanda para generación eléctrica, tras la recuperación de la producción hidroeléctrica.</w:t>
      </w:r>
    </w:p>
    <w:p w14:paraId="2F92C477" w14:textId="77777777" w:rsidR="00B313C1" w:rsidRPr="0006069A" w:rsidRDefault="00B313C1">
      <w:pPr>
        <w:keepNext/>
        <w:keepLines/>
        <w:spacing w:before="280" w:after="80"/>
        <w:rPr>
          <w:lang w:val="es-PE"/>
        </w:rPr>
      </w:pPr>
      <w:r w:rsidRPr="0006069A">
        <w:rPr>
          <w:b/>
          <w:color w:val="1F3864"/>
          <w:sz w:val="24"/>
          <w:lang w:val="es-PE"/>
        </w:rPr>
        <w:t>El sector gas natural en el Perú: producción relativamente estable, sin reposición de reservas</w:t>
      </w:r>
    </w:p>
    <w:p w14:paraId="125D5212" w14:textId="77777777" w:rsidR="00DE2172" w:rsidRDefault="00A37447">
      <w:pPr>
        <w:keepLines/>
        <w:rPr>
          <w:lang w:val="es-PE"/>
        </w:rPr>
      </w:pPr>
      <w:r w:rsidRPr="00552E6B">
        <w:rPr>
          <w:lang w:val="es-PE"/>
        </w:rPr>
        <w:t xml:space="preserve">La inversión en el segmento </w:t>
      </w:r>
      <w:r w:rsidRPr="00DE2172">
        <w:rPr>
          <w:i/>
          <w:iCs/>
          <w:lang w:val="es-PE"/>
        </w:rPr>
        <w:t>upstream</w:t>
      </w:r>
      <w:r w:rsidRPr="00552E6B">
        <w:rPr>
          <w:lang w:val="es-PE"/>
        </w:rPr>
        <w:t xml:space="preserve"> cayó 17 % y se destinó casi por completo a explotación. La exploración retrocedió 75 %, hasta alrededor de 1 % de su máximo histórico: durante el año no se perforó un solo pozo exploratorio ni se levantó un kilómetro de sísmica.</w:t>
      </w:r>
    </w:p>
    <w:p w14:paraId="73F3DD26" w14:textId="77A50FD5" w:rsidR="00A37447" w:rsidRPr="00552E6B" w:rsidRDefault="00A37447">
      <w:pPr>
        <w:keepLines/>
        <w:rPr>
          <w:lang w:val="es-PE"/>
        </w:rPr>
      </w:pPr>
      <w:r w:rsidRPr="00552E6B">
        <w:rPr>
          <w:lang w:val="es-PE"/>
        </w:rPr>
        <w:t>El resultado se reflej</w:t>
      </w:r>
      <w:r w:rsidR="00DE2172">
        <w:rPr>
          <w:lang w:val="es-PE"/>
        </w:rPr>
        <w:t>ó</w:t>
      </w:r>
      <w:r w:rsidRPr="00552E6B">
        <w:rPr>
          <w:lang w:val="es-PE"/>
        </w:rPr>
        <w:t xml:space="preserve"> en las reservas. Las probadas de gas natural cayeron 7 % en el año y acumulan un retroceso de 28 % desde 2021. Al ritmo de producción actual alcanzan para unos 13 años, frente a los 19 años que se registraban en 2021.</w:t>
      </w:r>
    </w:p>
    <w:p w14:paraId="18CE3276" w14:textId="77777777" w:rsidR="00C75A27" w:rsidRDefault="00D4093E">
      <w:pPr>
        <w:spacing w:before="160"/>
        <w:jc w:val="center"/>
      </w:pPr>
      <w:r>
        <w:rPr>
          <w:noProof/>
        </w:rPr>
        <w:lastRenderedPageBreak/>
        <w:drawing>
          <wp:inline distT="0" distB="0" distL="0" distR="0" wp14:anchorId="09FFE356" wp14:editId="38C113A4">
            <wp:extent cx="4320000" cy="2955790"/>
            <wp:effectExtent l="0" t="0" r="0" b="0"/>
            <wp:docPr id="90016" name="Picture 9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3.png"/>
                    <pic:cNvPicPr/>
                  </pic:nvPicPr>
                  <pic:blipFill>
                    <a:blip r:embed="rId13"/>
                    <a:stretch>
                      <a:fillRect/>
                    </a:stretch>
                  </pic:blipFill>
                  <pic:spPr>
                    <a:xfrm>
                      <a:off x="0" y="0"/>
                      <a:ext cx="4320000" cy="2955790"/>
                    </a:xfrm>
                    <a:prstGeom prst="rect">
                      <a:avLst/>
                    </a:prstGeom>
                  </pic:spPr>
                </pic:pic>
              </a:graphicData>
            </a:graphic>
          </wp:inline>
        </w:drawing>
      </w:r>
    </w:p>
    <w:p w14:paraId="39728D2B" w14:textId="77777777" w:rsidR="00C75A27" w:rsidRDefault="00D4093E">
      <w:pPr>
        <w:spacing w:before="160"/>
        <w:jc w:val="center"/>
      </w:pPr>
      <w:r>
        <w:rPr>
          <w:noProof/>
        </w:rPr>
        <w:drawing>
          <wp:inline distT="0" distB="0" distL="0" distR="0" wp14:anchorId="621B4A4A" wp14:editId="4BFDF3FD">
            <wp:extent cx="4320000" cy="2955790"/>
            <wp:effectExtent l="0" t="0" r="0" b="0"/>
            <wp:docPr id="90017" name="Picture 9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4.png"/>
                    <pic:cNvPicPr/>
                  </pic:nvPicPr>
                  <pic:blipFill>
                    <a:blip r:embed="rId14"/>
                    <a:stretch>
                      <a:fillRect/>
                    </a:stretch>
                  </pic:blipFill>
                  <pic:spPr>
                    <a:xfrm>
                      <a:off x="0" y="0"/>
                      <a:ext cx="4320000" cy="2955790"/>
                    </a:xfrm>
                    <a:prstGeom prst="rect">
                      <a:avLst/>
                    </a:prstGeom>
                  </pic:spPr>
                </pic:pic>
              </a:graphicData>
            </a:graphic>
          </wp:inline>
        </w:drawing>
      </w:r>
    </w:p>
    <w:p w14:paraId="6D77EBA5" w14:textId="55357AFD" w:rsidR="00A37447" w:rsidRPr="00552E6B" w:rsidRDefault="00A37447">
      <w:pPr>
        <w:keepLines/>
        <w:rPr>
          <w:lang w:val="es-PE"/>
        </w:rPr>
      </w:pPr>
      <w:r w:rsidRPr="00552E6B">
        <w:rPr>
          <w:lang w:val="es-PE"/>
        </w:rPr>
        <w:t>La producción fiscalizada</w:t>
      </w:r>
      <w:r w:rsidR="00201F1E">
        <w:rPr>
          <w:lang w:val="es-PE"/>
        </w:rPr>
        <w:t xml:space="preserve"> de gas natural</w:t>
      </w:r>
      <w:r w:rsidRPr="00552E6B">
        <w:rPr>
          <w:lang w:val="es-PE"/>
        </w:rPr>
        <w:t xml:space="preserve"> se mantuvo relativamente estable: retrocedió 3 %, pero se ubicó en línea con el promedio de los últimos cinco años, con el complejo de Camisea aportando 95 % del total. El volumen transportado por el ducto </w:t>
      </w:r>
      <w:r w:rsidR="00201F1E">
        <w:rPr>
          <w:lang w:val="es-PE"/>
        </w:rPr>
        <w:t xml:space="preserve">que </w:t>
      </w:r>
      <w:r>
        <w:rPr>
          <w:lang w:val="es-PE"/>
        </w:rPr>
        <w:t xml:space="preserve">lleva </w:t>
      </w:r>
      <w:r w:rsidR="00201F1E">
        <w:rPr>
          <w:lang w:val="es-PE"/>
        </w:rPr>
        <w:t xml:space="preserve">el gas desde Camisea hasta la costa central </w:t>
      </w:r>
      <w:r w:rsidRPr="00552E6B">
        <w:rPr>
          <w:lang w:val="es-PE"/>
        </w:rPr>
        <w:t>cayó 3 % y las exportaciones de gas natural licuado, 9 %.</w:t>
      </w:r>
    </w:p>
    <w:p w14:paraId="5BE5376A" w14:textId="7FBC2F85" w:rsidR="00A37447" w:rsidRDefault="00A37447">
      <w:pPr>
        <w:spacing w:before="160"/>
        <w:jc w:val="center"/>
        <w:rPr>
          <w:lang w:val="es-ES"/>
        </w:rPr>
      </w:pPr>
      <w:r>
        <w:rPr>
          <w:noProof/>
        </w:rPr>
        <w:lastRenderedPageBreak/>
        <w:drawing>
          <wp:inline distT="0" distB="0" distL="0" distR="0" wp14:anchorId="68861B75" wp14:editId="7BD83C94">
            <wp:extent cx="4320000" cy="3095065"/>
            <wp:effectExtent l="0" t="0" r="0" b="0"/>
            <wp:docPr id="2110891800" name="Imagen 211089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5.png"/>
                    <pic:cNvPicPr/>
                  </pic:nvPicPr>
                  <pic:blipFill>
                    <a:blip r:embed="rId15"/>
                    <a:stretch>
                      <a:fillRect/>
                    </a:stretch>
                  </pic:blipFill>
                  <pic:spPr>
                    <a:xfrm>
                      <a:off x="0" y="0"/>
                      <a:ext cx="4320000" cy="3095065"/>
                    </a:xfrm>
                    <a:prstGeom prst="rect">
                      <a:avLst/>
                    </a:prstGeom>
                  </pic:spPr>
                </pic:pic>
              </a:graphicData>
            </a:graphic>
          </wp:inline>
        </w:drawing>
      </w:r>
    </w:p>
    <w:p w14:paraId="7C989CFB" w14:textId="77777777" w:rsidR="00A37447" w:rsidRPr="00552E6B" w:rsidRDefault="00A37447">
      <w:pPr>
        <w:rPr>
          <w:lang w:val="es-PE"/>
        </w:rPr>
      </w:pPr>
    </w:p>
    <w:p w14:paraId="2C980810" w14:textId="72536B08" w:rsidR="00A37447" w:rsidRPr="00552E6B" w:rsidRDefault="00A37447">
      <w:pPr>
        <w:keepLines/>
        <w:rPr>
          <w:lang w:val="es-PE"/>
        </w:rPr>
      </w:pPr>
      <w:r w:rsidRPr="00552E6B">
        <w:rPr>
          <w:lang w:val="es-PE"/>
        </w:rPr>
        <w:t xml:space="preserve">El consumo total de gas natural del país retrocedió 4 %. La caída se concentró en la generación eléctrica, </w:t>
      </w:r>
      <w:r w:rsidRPr="00552E6B" w:rsidDel="00FF33FF">
        <w:rPr>
          <w:lang w:val="es-PE"/>
        </w:rPr>
        <w:t xml:space="preserve">que cayó </w:t>
      </w:r>
      <w:r w:rsidRPr="00552E6B">
        <w:rPr>
          <w:lang w:val="es-PE"/>
        </w:rPr>
        <w:t>8 %</w:t>
      </w:r>
      <w:r w:rsidR="002E3F6C">
        <w:rPr>
          <w:lang w:val="es-PE"/>
        </w:rPr>
        <w:t xml:space="preserve"> </w:t>
      </w:r>
      <w:r>
        <w:rPr>
          <w:lang w:val="es-PE"/>
        </w:rPr>
        <w:t>–</w:t>
      </w:r>
      <w:r w:rsidRPr="00552E6B">
        <w:rPr>
          <w:lang w:val="es-PE"/>
        </w:rPr>
        <w:t>desplazada por una hidrología favorable y por la mayor oferta renovable</w:t>
      </w:r>
      <w:r>
        <w:rPr>
          <w:lang w:val="es-PE"/>
        </w:rPr>
        <w:t>–</w:t>
      </w:r>
      <w:r w:rsidR="002E3F6C" w:rsidRPr="002E3F6C">
        <w:rPr>
          <w:lang w:val="es-PE"/>
        </w:rPr>
        <w:t xml:space="preserve"> </w:t>
      </w:r>
      <w:r w:rsidRPr="00552E6B">
        <w:rPr>
          <w:lang w:val="es-PE"/>
        </w:rPr>
        <w:t>y en las exportaciones. Los segmentos de la masificación fueron los únicos que crecieron con fuerza: residencial y comercial</w:t>
      </w:r>
      <w:r w:rsidR="000075D5">
        <w:rPr>
          <w:lang w:val="es-PE"/>
        </w:rPr>
        <w:t xml:space="preserve"> </w:t>
      </w:r>
      <w:r w:rsidRPr="00552E6B">
        <w:rPr>
          <w:lang w:val="es-PE"/>
        </w:rPr>
        <w:t>11 %</w:t>
      </w:r>
      <w:r w:rsidR="000075D5">
        <w:rPr>
          <w:lang w:val="es-PE"/>
        </w:rPr>
        <w:t>,</w:t>
      </w:r>
      <w:r w:rsidRPr="00552E6B">
        <w:rPr>
          <w:lang w:val="es-PE"/>
        </w:rPr>
        <w:t xml:space="preserve"> y gas natural vehicular</w:t>
      </w:r>
      <w:r w:rsidR="000075D5">
        <w:rPr>
          <w:lang w:val="es-PE"/>
        </w:rPr>
        <w:t xml:space="preserve"> </w:t>
      </w:r>
      <w:r w:rsidRPr="00552E6B">
        <w:rPr>
          <w:lang w:val="es-PE"/>
        </w:rPr>
        <w:t>5 %.</w:t>
      </w:r>
    </w:p>
    <w:p w14:paraId="3DEB75F7" w14:textId="053E09DF" w:rsidR="00A37447" w:rsidRDefault="00A37447">
      <w:pPr>
        <w:spacing w:before="160"/>
        <w:jc w:val="center"/>
        <w:rPr>
          <w:lang w:val="es-ES"/>
        </w:rPr>
      </w:pPr>
      <w:r>
        <w:rPr>
          <w:noProof/>
        </w:rPr>
        <w:drawing>
          <wp:inline distT="0" distB="0" distL="0" distR="0" wp14:anchorId="3198FB3E" wp14:editId="54EB4E91">
            <wp:extent cx="4320000" cy="3035844"/>
            <wp:effectExtent l="0" t="0" r="0" b="0"/>
            <wp:docPr id="2110891801" name="Imagen 211089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6.png"/>
                    <pic:cNvPicPr/>
                  </pic:nvPicPr>
                  <pic:blipFill>
                    <a:blip r:embed="rId16"/>
                    <a:stretch>
                      <a:fillRect/>
                    </a:stretch>
                  </pic:blipFill>
                  <pic:spPr>
                    <a:xfrm>
                      <a:off x="0" y="0"/>
                      <a:ext cx="4320000" cy="3035844"/>
                    </a:xfrm>
                    <a:prstGeom prst="rect">
                      <a:avLst/>
                    </a:prstGeom>
                  </pic:spPr>
                </pic:pic>
              </a:graphicData>
            </a:graphic>
          </wp:inline>
        </w:drawing>
      </w:r>
    </w:p>
    <w:p w14:paraId="6055A8F5" w14:textId="77777777" w:rsidR="00B313C1" w:rsidRPr="0006069A" w:rsidRDefault="00B313C1">
      <w:pPr>
        <w:keepNext/>
        <w:keepLines/>
        <w:spacing w:before="280" w:after="80"/>
        <w:rPr>
          <w:lang w:val="es-PE"/>
        </w:rPr>
      </w:pPr>
      <w:r w:rsidRPr="0006069A">
        <w:rPr>
          <w:b/>
          <w:color w:val="1F3864"/>
          <w:sz w:val="24"/>
          <w:lang w:val="es-PE"/>
        </w:rPr>
        <w:t>La masificación continúa, pero a un ritmo mucho menor</w:t>
      </w:r>
    </w:p>
    <w:p w14:paraId="513FAC8C" w14:textId="77777777" w:rsidR="00A37447" w:rsidRPr="00552E6B" w:rsidRDefault="00A37447">
      <w:pPr>
        <w:keepLines/>
        <w:rPr>
          <w:lang w:val="es-PE"/>
        </w:rPr>
      </w:pPr>
      <w:r w:rsidRPr="00552E6B">
        <w:rPr>
          <w:lang w:val="es-PE"/>
        </w:rPr>
        <w:t>Al cierre de 2025 el país se acercó a los 2,6 millones de conexiones de gas natural, 6 % más que en 2024, con unos 147 mil nuevos usuarios y una red de distribución de 28 mil kilómetros. Uno de cada cuatro peruanos vive hoy en un hogar conectado. En cinco años las conexiones se duplicaron y la cobertura pasó de 14 % a 25 % de la población.</w:t>
      </w:r>
    </w:p>
    <w:p w14:paraId="7A9E7C37" w14:textId="77777777" w:rsidR="00C75A27" w:rsidRDefault="00D4093E">
      <w:pPr>
        <w:spacing w:before="160"/>
        <w:jc w:val="center"/>
      </w:pPr>
      <w:r>
        <w:rPr>
          <w:noProof/>
        </w:rPr>
        <w:lastRenderedPageBreak/>
        <w:drawing>
          <wp:inline distT="0" distB="0" distL="0" distR="0" wp14:anchorId="6231F0BB" wp14:editId="30ED30E4">
            <wp:extent cx="4320000" cy="2700000"/>
            <wp:effectExtent l="0" t="0" r="0" b="0"/>
            <wp:docPr id="90020" name="Picture 9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7.png"/>
                    <pic:cNvPicPr/>
                  </pic:nvPicPr>
                  <pic:blipFill>
                    <a:blip r:embed="rId17"/>
                    <a:stretch>
                      <a:fillRect/>
                    </a:stretch>
                  </pic:blipFill>
                  <pic:spPr>
                    <a:xfrm>
                      <a:off x="0" y="0"/>
                      <a:ext cx="4320000" cy="2700000"/>
                    </a:xfrm>
                    <a:prstGeom prst="rect">
                      <a:avLst/>
                    </a:prstGeom>
                  </pic:spPr>
                </pic:pic>
              </a:graphicData>
            </a:graphic>
          </wp:inline>
        </w:drawing>
      </w:r>
    </w:p>
    <w:p w14:paraId="2D1042C4" w14:textId="380D5C25" w:rsidR="00C75A27" w:rsidRDefault="00D4093E">
      <w:pPr>
        <w:spacing w:before="160"/>
        <w:jc w:val="center"/>
      </w:pPr>
      <w:r>
        <w:rPr>
          <w:noProof/>
        </w:rPr>
        <w:drawing>
          <wp:inline distT="0" distB="0" distL="0" distR="0" wp14:anchorId="16797771" wp14:editId="4CE7F102">
            <wp:extent cx="4320000" cy="2698051"/>
            <wp:effectExtent l="0" t="0" r="0" b="0"/>
            <wp:docPr id="2110891802" name="Imagen 211089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8.png"/>
                    <pic:cNvPicPr/>
                  </pic:nvPicPr>
                  <pic:blipFill>
                    <a:blip r:embed="rId18"/>
                    <a:stretch>
                      <a:fillRect/>
                    </a:stretch>
                  </pic:blipFill>
                  <pic:spPr>
                    <a:xfrm>
                      <a:off x="0" y="0"/>
                      <a:ext cx="4320000" cy="2698051"/>
                    </a:xfrm>
                    <a:prstGeom prst="rect">
                      <a:avLst/>
                    </a:prstGeom>
                  </pic:spPr>
                </pic:pic>
              </a:graphicData>
            </a:graphic>
          </wp:inline>
        </w:drawing>
      </w:r>
    </w:p>
    <w:p w14:paraId="15DDA4F8" w14:textId="77777777" w:rsidR="00180FC4" w:rsidRDefault="00180FC4">
      <w:pPr>
        <w:keepNext/>
        <w:spacing w:before="160"/>
        <w:jc w:val="center"/>
        <w:rPr>
          <w:lang w:val="es-PE"/>
        </w:rPr>
      </w:pPr>
    </w:p>
    <w:p w14:paraId="12CB6622" w14:textId="77777777" w:rsidR="00A37447" w:rsidRPr="00552E6B" w:rsidRDefault="00A37447">
      <w:pPr>
        <w:keepLines/>
        <w:rPr>
          <w:lang w:val="es-PE"/>
        </w:rPr>
      </w:pPr>
      <w:r w:rsidRPr="00552E6B">
        <w:rPr>
          <w:lang w:val="es-PE"/>
        </w:rPr>
        <w:t>El ritmo del año, sin embargo, fue bastante menor al de los ejercicios previos, y tres razones lo explican. La primera es la madurez de la concesión de Lima y Callao, que aporta cuatro de cada cinco conexiones nuevas del país y donde ya seis de cada diez hogares cuentan con el servicio. La segunda son las controversias tarifarias: las concesiones del norte y de Ica pasaron hace poco por revisiones de tarifas que no reconocieron parte de sus inversiones, frenaron la expansión de sus redes y crecieron muy por debajo de su ritmo de los últimos años. La tercera es el repliegue del financiamiento público: el Bonogas financió 94 mil conexiones en 2025, frente a 241 mil en 2024, tras un recorte presupuestal y la aprobación tardía de su plan anual, y los recursos públicos para construir redes nuevas prácticamente han desaparecido. Cuando ese financiamiento operaba a plena capacidad, el sector conectaba del orden de 300 mil hogares por año.</w:t>
      </w:r>
    </w:p>
    <w:p w14:paraId="4382E52F" w14:textId="77777777" w:rsidR="00180FC4" w:rsidRDefault="00D83036">
      <w:pPr>
        <w:keepNext/>
        <w:spacing w:before="160"/>
        <w:jc w:val="center"/>
        <w:rPr>
          <w:lang w:val="es-PE"/>
        </w:rPr>
      </w:pPr>
      <w:r>
        <w:rPr>
          <w:noProof/>
        </w:rPr>
        <w:lastRenderedPageBreak/>
        <w:drawing>
          <wp:inline distT="0" distB="0" distL="0" distR="0" wp14:anchorId="7915B416" wp14:editId="50AAB271">
            <wp:extent cx="4320000" cy="2728092"/>
            <wp:effectExtent l="0" t="0" r="0" b="0"/>
            <wp:docPr id="90022" name="Picture 9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9.png"/>
                    <pic:cNvPicPr/>
                  </pic:nvPicPr>
                  <pic:blipFill>
                    <a:blip r:embed="rId19"/>
                    <a:stretch>
                      <a:fillRect/>
                    </a:stretch>
                  </pic:blipFill>
                  <pic:spPr>
                    <a:xfrm>
                      <a:off x="0" y="0"/>
                      <a:ext cx="4320000" cy="2728092"/>
                    </a:xfrm>
                    <a:prstGeom prst="rect">
                      <a:avLst/>
                    </a:prstGeom>
                  </pic:spPr>
                </pic:pic>
              </a:graphicData>
            </a:graphic>
          </wp:inline>
        </w:drawing>
      </w:r>
    </w:p>
    <w:p w14:paraId="41C1DDF6" w14:textId="77777777" w:rsidR="00A37447" w:rsidRPr="00552E6B" w:rsidRDefault="00A37447">
      <w:pPr>
        <w:rPr>
          <w:lang w:val="es-PE"/>
        </w:rPr>
      </w:pPr>
    </w:p>
    <w:p w14:paraId="2019CFB7" w14:textId="002527A3" w:rsidR="00A37447" w:rsidRPr="00552E6B" w:rsidRDefault="00A37447">
      <w:pPr>
        <w:keepLines/>
        <w:rPr>
          <w:lang w:val="es-PE"/>
        </w:rPr>
      </w:pPr>
      <w:r w:rsidRPr="00552E6B">
        <w:rPr>
          <w:lang w:val="es-PE"/>
        </w:rPr>
        <w:t>En las regiones hubo dos historias positivas. La concesión de Piura creció 45 % en clientes residenciales y, con tres años y medio de operación comercial, ya superó en conjunto la meta que su contrato fijaba para el octavo año. La Concesión Sur Oeste retomó el crecimiento, con 15 % más de clientes residenciales, gracias a la puesta en operación de las redes construidas el año anterior</w:t>
      </w:r>
      <w:r w:rsidR="0094546B">
        <w:rPr>
          <w:lang w:val="es-PE"/>
        </w:rPr>
        <w:t xml:space="preserve"> con el financiamiento del Fondo de Inclusión Social Energético (FISE)</w:t>
      </w:r>
      <w:r w:rsidRPr="00552E6B">
        <w:rPr>
          <w:lang w:val="es-PE"/>
        </w:rPr>
        <w:t>.</w:t>
      </w:r>
    </w:p>
    <w:p w14:paraId="19425D26" w14:textId="30A26F2D" w:rsidR="00A37447" w:rsidRPr="00552E6B" w:rsidRDefault="00A37447">
      <w:pPr>
        <w:keepLines/>
        <w:rPr>
          <w:lang w:val="es-PE"/>
        </w:rPr>
      </w:pPr>
      <w:r w:rsidRPr="00552E6B">
        <w:rPr>
          <w:lang w:val="es-PE"/>
        </w:rPr>
        <w:t xml:space="preserve">En el frente vehicular, </w:t>
      </w:r>
      <w:r w:rsidR="00644C4A">
        <w:rPr>
          <w:lang w:val="es-PE"/>
        </w:rPr>
        <w:t xml:space="preserve">al cierre de 2025 </w:t>
      </w:r>
      <w:r w:rsidRPr="00552E6B">
        <w:rPr>
          <w:lang w:val="es-PE"/>
        </w:rPr>
        <w:t>cerca de 528 mil vehículos estaban habilitados para operar con gas natural, 7 % más que en 2024. Ingresaron casi 37 mil unidades nuevas</w:t>
      </w:r>
      <w:r w:rsidR="00047F5E">
        <w:rPr>
          <w:lang w:val="es-PE"/>
        </w:rPr>
        <w:t xml:space="preserve"> (95 % convertidas)</w:t>
      </w:r>
      <w:r w:rsidRPr="00552E6B">
        <w:rPr>
          <w:lang w:val="es-PE"/>
        </w:rPr>
        <w:t>, 21 % menos que el año previo</w:t>
      </w:r>
      <w:r w:rsidR="00AF4333">
        <w:rPr>
          <w:lang w:val="es-PE"/>
        </w:rPr>
        <w:t>.</w:t>
      </w:r>
      <w:r w:rsidR="002E22CC">
        <w:rPr>
          <w:lang w:val="es-PE"/>
        </w:rPr>
        <w:t xml:space="preserve"> Solo dos terceras partes de los vehículos habilitados registraron consumo en diciembre de 2025.</w:t>
      </w:r>
    </w:p>
    <w:p w14:paraId="3619579B" w14:textId="46E37F40" w:rsidR="00180FC4" w:rsidRDefault="00D83036">
      <w:pPr>
        <w:keepNext/>
        <w:spacing w:before="160"/>
        <w:jc w:val="center"/>
        <w:rPr>
          <w:lang w:val="es-PE"/>
        </w:rPr>
      </w:pPr>
      <w:r>
        <w:rPr>
          <w:noProof/>
        </w:rPr>
        <w:drawing>
          <wp:inline distT="0" distB="0" distL="0" distR="0" wp14:anchorId="3F8C7C08" wp14:editId="0B7F16BA">
            <wp:extent cx="4320000" cy="2698051"/>
            <wp:effectExtent l="0" t="0" r="0" b="0"/>
            <wp:docPr id="90023" name="Picture 9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10.png"/>
                    <pic:cNvPicPr/>
                  </pic:nvPicPr>
                  <pic:blipFill>
                    <a:blip r:embed="rId20"/>
                    <a:stretch>
                      <a:fillRect/>
                    </a:stretch>
                  </pic:blipFill>
                  <pic:spPr>
                    <a:xfrm>
                      <a:off x="0" y="0"/>
                      <a:ext cx="4320000" cy="2698051"/>
                    </a:xfrm>
                    <a:prstGeom prst="rect">
                      <a:avLst/>
                    </a:prstGeom>
                  </pic:spPr>
                </pic:pic>
              </a:graphicData>
            </a:graphic>
          </wp:inline>
        </w:drawing>
      </w:r>
    </w:p>
    <w:p w14:paraId="269E19AD" w14:textId="77777777" w:rsidR="00AF4333" w:rsidRDefault="00AF4333">
      <w:pPr>
        <w:spacing w:before="280" w:after="80"/>
        <w:rPr>
          <w:b/>
          <w:color w:val="1F3864"/>
          <w:sz w:val="24"/>
          <w:lang w:val="es-PE"/>
        </w:rPr>
      </w:pPr>
    </w:p>
    <w:p w14:paraId="0288391A" w14:textId="7F24D86E" w:rsidR="00B313C1" w:rsidRPr="0006069A" w:rsidRDefault="00B313C1">
      <w:pPr>
        <w:keepNext/>
        <w:keepLines/>
        <w:spacing w:before="280" w:after="80"/>
        <w:rPr>
          <w:lang w:val="es-PE"/>
        </w:rPr>
      </w:pPr>
      <w:r w:rsidRPr="0006069A">
        <w:rPr>
          <w:b/>
          <w:color w:val="1F3864"/>
          <w:sz w:val="24"/>
          <w:lang w:val="es-PE"/>
        </w:rPr>
        <w:lastRenderedPageBreak/>
        <w:t>Tarifas y resultados de las concesionarias</w:t>
      </w:r>
    </w:p>
    <w:p w14:paraId="3F03472E" w14:textId="2F1969BC" w:rsidR="00A37447" w:rsidRPr="00552E6B" w:rsidRDefault="00A37447">
      <w:pPr>
        <w:keepLines/>
        <w:rPr>
          <w:lang w:val="es-PE"/>
        </w:rPr>
      </w:pPr>
      <w:r w:rsidRPr="00552E6B">
        <w:rPr>
          <w:lang w:val="es-PE"/>
        </w:rPr>
        <w:t xml:space="preserve">Las tarifas en dólares se mantuvieron </w:t>
      </w:r>
      <w:r w:rsidR="00242B25">
        <w:rPr>
          <w:lang w:val="es-PE"/>
        </w:rPr>
        <w:t xml:space="preserve">relativamente </w:t>
      </w:r>
      <w:r w:rsidRPr="00552E6B">
        <w:rPr>
          <w:lang w:val="es-PE"/>
        </w:rPr>
        <w:t xml:space="preserve">estables </w:t>
      </w:r>
      <w:r w:rsidR="00C13772">
        <w:rPr>
          <w:lang w:val="es-PE"/>
        </w:rPr>
        <w:t xml:space="preserve">o retrocedieron </w:t>
      </w:r>
      <w:r w:rsidRPr="00552E6B">
        <w:rPr>
          <w:lang w:val="es-PE"/>
        </w:rPr>
        <w:t xml:space="preserve">en la mayoría de concesiones, a pesar de la apreciación del sol, que empuja al alza las cifras expresadas en dólares. En la Concesión Norte, la nueva fijación tarifaria redujo la mayoría de las tarifas de Gases del Pacífico: 27 % en el segmento residencial y más de 20 % en la industria mediana, una baja que no responde a menores costos sino a inversiones no reconocidas por el regulador. Petroperú, en la Concesión Sur Oeste, mantuvo las tarifas más altas del sistema </w:t>
      </w:r>
      <w:r>
        <w:rPr>
          <w:lang w:val="es-PE"/>
        </w:rPr>
        <w:t>–</w:t>
      </w:r>
      <w:r w:rsidRPr="00552E6B">
        <w:rPr>
          <w:lang w:val="es-PE"/>
        </w:rPr>
        <w:t>más de US$ 23 por millón de BTU en el segmento residencial</w:t>
      </w:r>
      <w:r>
        <w:rPr>
          <w:lang w:val="es-PE"/>
        </w:rPr>
        <w:t>–</w:t>
      </w:r>
      <w:r w:rsidRPr="00552E6B">
        <w:rPr>
          <w:lang w:val="es-PE"/>
        </w:rPr>
        <w:t>, consecuencia de su menor escala y del abastecimiento con gas natural licuado transportado en camión.</w:t>
      </w:r>
    </w:p>
    <w:p w14:paraId="7BCE740B" w14:textId="7CFA213E" w:rsidR="00A37447" w:rsidRPr="00552E6B" w:rsidRDefault="00A37447">
      <w:pPr>
        <w:keepLines/>
        <w:rPr>
          <w:lang w:val="es-PE"/>
        </w:rPr>
      </w:pPr>
      <w:r w:rsidRPr="00552E6B">
        <w:rPr>
          <w:highlight w:val="yellow"/>
          <w:lang w:val="es-PE"/>
        </w:rPr>
        <w:t>En el plano financiero, las distribuidoras cerraron el año con un Ebitda agregado cercano a US$ 364 millones y una estructura de endeudamiento estable, con el pasivo en torno a tres cuartas partes del total.</w:t>
      </w:r>
    </w:p>
    <w:p w14:paraId="45F4AD54" w14:textId="64839D93" w:rsidR="00A37447" w:rsidRDefault="00A37447">
      <w:pPr>
        <w:spacing w:before="160"/>
        <w:jc w:val="center"/>
      </w:pPr>
      <w:r>
        <w:rPr>
          <w:noProof/>
        </w:rPr>
        <w:drawing>
          <wp:inline distT="0" distB="0" distL="0" distR="0" wp14:anchorId="25978C8D" wp14:editId="41F7D2CA">
            <wp:extent cx="5400000" cy="3697403"/>
            <wp:effectExtent l="0" t="0" r="0" b="0"/>
            <wp:docPr id="90024" name="Picture 9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11.png"/>
                    <pic:cNvPicPr/>
                  </pic:nvPicPr>
                  <pic:blipFill>
                    <a:blip r:embed="rId21"/>
                    <a:stretch>
                      <a:fillRect/>
                    </a:stretch>
                  </pic:blipFill>
                  <pic:spPr>
                    <a:xfrm>
                      <a:off x="0" y="0"/>
                      <a:ext cx="5400000" cy="3697403"/>
                    </a:xfrm>
                    <a:prstGeom prst="rect">
                      <a:avLst/>
                    </a:prstGeom>
                  </pic:spPr>
                </pic:pic>
              </a:graphicData>
            </a:graphic>
          </wp:inline>
        </w:drawing>
      </w:r>
    </w:p>
    <w:p w14:paraId="3A46D404" w14:textId="77777777" w:rsidR="00A37447" w:rsidRPr="00552E6B" w:rsidRDefault="00A37447">
      <w:pPr>
        <w:rPr>
          <w:lang w:val="es-PE"/>
        </w:rPr>
      </w:pPr>
    </w:p>
    <w:p w14:paraId="1ECCCB8A" w14:textId="22DA4076" w:rsidR="00A37447" w:rsidRDefault="00A37447">
      <w:pPr>
        <w:spacing w:before="160"/>
        <w:jc w:val="center"/>
      </w:pPr>
      <w:r>
        <w:rPr>
          <w:noProof/>
        </w:rPr>
        <w:lastRenderedPageBreak/>
        <w:drawing>
          <wp:inline distT="0" distB="0" distL="0" distR="0" wp14:anchorId="5B5E79DB" wp14:editId="5275A4AB">
            <wp:extent cx="5400000" cy="3575307"/>
            <wp:effectExtent l="0" t="0" r="0" b="0"/>
            <wp:docPr id="2110891803" name="Imagen 211089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12.png"/>
                    <pic:cNvPicPr/>
                  </pic:nvPicPr>
                  <pic:blipFill>
                    <a:blip r:embed="rId22"/>
                    <a:stretch>
                      <a:fillRect/>
                    </a:stretch>
                  </pic:blipFill>
                  <pic:spPr>
                    <a:xfrm>
                      <a:off x="0" y="0"/>
                      <a:ext cx="5400000" cy="3575307"/>
                    </a:xfrm>
                    <a:prstGeom prst="rect">
                      <a:avLst/>
                    </a:prstGeom>
                  </pic:spPr>
                </pic:pic>
              </a:graphicData>
            </a:graphic>
          </wp:inline>
        </w:drawing>
      </w:r>
    </w:p>
    <w:p w14:paraId="4A406768" w14:textId="77777777" w:rsidR="00A37447" w:rsidRPr="00552E6B" w:rsidRDefault="00A37447">
      <w:pPr>
        <w:rPr>
          <w:lang w:val="es-PE"/>
        </w:rPr>
      </w:pPr>
    </w:p>
    <w:p w14:paraId="23CBE556" w14:textId="29E7A8F0" w:rsidR="00B313C1" w:rsidRPr="0006069A" w:rsidRDefault="00B313C1">
      <w:pPr>
        <w:keepNext/>
        <w:keepLines/>
        <w:spacing w:before="280" w:after="80"/>
        <w:rPr>
          <w:lang w:val="es-PE"/>
        </w:rPr>
      </w:pPr>
      <w:r w:rsidRPr="0006069A">
        <w:rPr>
          <w:b/>
          <w:color w:val="1F3864"/>
          <w:sz w:val="24"/>
          <w:lang w:val="es-PE"/>
        </w:rPr>
        <w:t xml:space="preserve">El rol del gas natural frente al </w:t>
      </w:r>
      <w:r>
        <w:rPr>
          <w:b/>
          <w:color w:val="1F3864"/>
          <w:sz w:val="24"/>
          <w:lang w:val="es-PE"/>
        </w:rPr>
        <w:t>f</w:t>
      </w:r>
      <w:r w:rsidRPr="0006069A">
        <w:rPr>
          <w:b/>
          <w:color w:val="1F3864"/>
          <w:sz w:val="24"/>
          <w:lang w:val="es-PE"/>
        </w:rPr>
        <w:t xml:space="preserve">enómeno </w:t>
      </w:r>
      <w:r>
        <w:rPr>
          <w:b/>
          <w:color w:val="1F3864"/>
          <w:sz w:val="24"/>
          <w:lang w:val="es-PE"/>
        </w:rPr>
        <w:t xml:space="preserve">de </w:t>
      </w:r>
      <w:r w:rsidRPr="0006069A">
        <w:rPr>
          <w:b/>
          <w:color w:val="1F3864"/>
          <w:sz w:val="24"/>
          <w:lang w:val="es-PE"/>
        </w:rPr>
        <w:t>El Niño</w:t>
      </w:r>
    </w:p>
    <w:p w14:paraId="6029E4F0" w14:textId="7F6A6258" w:rsidR="00A37447" w:rsidRPr="00552E6B" w:rsidRDefault="00A37447">
      <w:pPr>
        <w:keepLines/>
        <w:rPr>
          <w:lang w:val="es-PE"/>
        </w:rPr>
      </w:pPr>
      <w:r w:rsidRPr="00552E6B">
        <w:rPr>
          <w:highlight w:val="yellow"/>
          <w:lang w:val="es-PE"/>
        </w:rPr>
        <w:t>El país enfrenta un fenómeno de El Niño en curso y en su versión más exigente. El ENFEN mantiene declarada la ‘Alerta de El Niño Costero’ y asigna una probabilidad de al menos 95 % a un evento fuerte o extraordinario en cada mes entre diciembre de 2026 y febrero de 2027, mientras la NOAA estima en más de 83 % la probabilidad de que el fenómeno global se mantenga entre fuerte y muy fuerte hasta el primer trimestre de 2027.</w:t>
      </w:r>
    </w:p>
    <w:p w14:paraId="4240BD14" w14:textId="566D17DB" w:rsidR="00A37447" w:rsidRPr="00552E6B" w:rsidRDefault="00A37447">
      <w:pPr>
        <w:keepLines/>
        <w:rPr>
          <w:lang w:val="es-PE"/>
        </w:rPr>
      </w:pPr>
      <w:r w:rsidRPr="00552E6B">
        <w:rPr>
          <w:lang w:val="es-PE"/>
        </w:rPr>
        <w:t xml:space="preserve">El riesgo para la factura eléctrica es conocido: cuando la sequía reduce la generación hidroeléctrica, el relevo lo debe tomar el gas natural; si el gas no llega, entra el diésel y el precio se multiplica, como en 2023, cuando el precio spot se multiplicó por casi seis entre enero y setiembre. El Perú tiene con qué enfrentarlo: </w:t>
      </w:r>
      <w:r>
        <w:rPr>
          <w:lang w:val="es-PE"/>
        </w:rPr>
        <w:t>las centrales térmicas aportan</w:t>
      </w:r>
      <w:r w:rsidRPr="00552E6B">
        <w:rPr>
          <w:lang w:val="es-PE"/>
        </w:rPr>
        <w:t xml:space="preserve"> cerca de la mitad de la potencia efectiva</w:t>
      </w:r>
      <w:r>
        <w:rPr>
          <w:lang w:val="es-PE"/>
        </w:rPr>
        <w:t>, casi todas pueden operar con gas natural</w:t>
      </w:r>
      <w:r w:rsidRPr="00552E6B">
        <w:rPr>
          <w:lang w:val="es-PE"/>
        </w:rPr>
        <w:t xml:space="preserve"> y cada año se reinyecta parte de la producción por falta de demanda. El problema es de infraestructura, no de recurso: </w:t>
      </w:r>
      <w:r>
        <w:rPr>
          <w:lang w:val="es-PE"/>
        </w:rPr>
        <w:t>cerca de un tercio de la capacidad térmica apta para gas no está conectada al Sistema de Transporte por ductos. Proteger el ducto que abastece a Lima</w:t>
      </w:r>
      <w:r w:rsidR="00710382">
        <w:rPr>
          <w:lang w:val="es-PE"/>
        </w:rPr>
        <w:t xml:space="preserve">, almacenar gas natural licuado para emergencias </w:t>
      </w:r>
      <w:r w:rsidRPr="00552E6B">
        <w:rPr>
          <w:lang w:val="es-PE"/>
        </w:rPr>
        <w:t xml:space="preserve">y conectar las centrales del sur son las medidas más costo-efectivas para que </w:t>
      </w:r>
      <w:r w:rsidR="00AC44C7">
        <w:rPr>
          <w:lang w:val="es-PE"/>
        </w:rPr>
        <w:t xml:space="preserve">un </w:t>
      </w:r>
      <w:r w:rsidRPr="00552E6B">
        <w:rPr>
          <w:lang w:val="es-PE"/>
        </w:rPr>
        <w:t>próximo evento no termine en un choque de precios para hogares y empresas.</w:t>
      </w:r>
      <w:r w:rsidR="00AC44C7">
        <w:rPr>
          <w:lang w:val="es-PE"/>
        </w:rPr>
        <w:t xml:space="preserve"> </w:t>
      </w:r>
      <w:r w:rsidR="00951A17">
        <w:rPr>
          <w:lang w:val="es-PE"/>
        </w:rPr>
        <w:t>Desafortunadamente</w:t>
      </w:r>
      <w:r w:rsidR="00AC44C7">
        <w:rPr>
          <w:lang w:val="es-PE"/>
        </w:rPr>
        <w:t xml:space="preserve">, </w:t>
      </w:r>
      <w:r w:rsidR="00710382">
        <w:rPr>
          <w:lang w:val="es-PE"/>
        </w:rPr>
        <w:t>ninguna de estas medidas parece factible para</w:t>
      </w:r>
      <w:r w:rsidR="00A24980">
        <w:rPr>
          <w:lang w:val="es-PE"/>
        </w:rPr>
        <w:t xml:space="preserve"> enfren</w:t>
      </w:r>
      <w:r w:rsidR="00AC6195">
        <w:rPr>
          <w:lang w:val="es-PE"/>
        </w:rPr>
        <w:t>tar</w:t>
      </w:r>
      <w:r w:rsidR="00710382">
        <w:rPr>
          <w:lang w:val="es-PE"/>
        </w:rPr>
        <w:t xml:space="preserve"> el episodio en </w:t>
      </w:r>
      <w:r w:rsidR="00FA5CFC">
        <w:rPr>
          <w:lang w:val="es-PE"/>
        </w:rPr>
        <w:t>desarrollo</w:t>
      </w:r>
      <w:r w:rsidR="00AC6195">
        <w:rPr>
          <w:lang w:val="es-PE"/>
        </w:rPr>
        <w:t>, debido al tiempo de preparación y ejecución necesario.</w:t>
      </w:r>
    </w:p>
    <w:p w14:paraId="697E8FBD" w14:textId="77777777" w:rsidR="00A37447" w:rsidRPr="00A21BDD" w:rsidRDefault="00A37447">
      <w:pPr>
        <w:keepNext/>
        <w:spacing w:before="160"/>
        <w:jc w:val="center"/>
        <w:rPr>
          <w:lang w:val="es-PE"/>
        </w:rPr>
      </w:pPr>
      <w:r>
        <w:rPr>
          <w:noProof/>
        </w:rPr>
        <w:lastRenderedPageBreak/>
        <w:drawing>
          <wp:inline distT="0" distB="0" distL="0" distR="0" wp14:anchorId="063B135C" wp14:editId="23625EBB">
            <wp:extent cx="4320000" cy="3101299"/>
            <wp:effectExtent l="0" t="0" r="0" b="0"/>
            <wp:docPr id="90026" name="Picture 9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13.png"/>
                    <pic:cNvPicPr/>
                  </pic:nvPicPr>
                  <pic:blipFill>
                    <a:blip r:embed="rId23"/>
                    <a:stretch>
                      <a:fillRect/>
                    </a:stretch>
                  </pic:blipFill>
                  <pic:spPr>
                    <a:xfrm>
                      <a:off x="0" y="0"/>
                      <a:ext cx="4320000" cy="3101299"/>
                    </a:xfrm>
                    <a:prstGeom prst="rect">
                      <a:avLst/>
                    </a:prstGeom>
                  </pic:spPr>
                </pic:pic>
              </a:graphicData>
            </a:graphic>
          </wp:inline>
        </w:drawing>
      </w:r>
    </w:p>
    <w:p w14:paraId="558EE7DC" w14:textId="77777777" w:rsidR="00B313C1" w:rsidRPr="0006069A" w:rsidRDefault="00B313C1">
      <w:pPr>
        <w:keepNext/>
        <w:keepLines/>
        <w:spacing w:before="280" w:after="80"/>
        <w:rPr>
          <w:lang w:val="es-PE"/>
        </w:rPr>
      </w:pPr>
      <w:r w:rsidRPr="0006069A">
        <w:rPr>
          <w:b/>
          <w:color w:val="1F3864"/>
          <w:sz w:val="24"/>
          <w:lang w:val="es-PE"/>
        </w:rPr>
        <w:t>La agenda de oportunidades para el nuevo ciclo político</w:t>
      </w:r>
    </w:p>
    <w:p w14:paraId="6661C573" w14:textId="53F3237B" w:rsidR="00A37447" w:rsidRPr="00552E6B" w:rsidRDefault="00A37447">
      <w:pPr>
        <w:keepLines/>
        <w:rPr>
          <w:lang w:val="es-PE"/>
        </w:rPr>
      </w:pPr>
      <w:r w:rsidRPr="00552E6B">
        <w:rPr>
          <w:lang w:val="es-PE"/>
        </w:rPr>
        <w:t xml:space="preserve">El sector llega al nuevo periodo de gobierno con una agenda inusualmente madura: hay adendas negociadas durante años, proyectos con expediente técnico y una cartera de inversión privada que no depende del presupuesto público. Lo que falta no es diseño ni dinero, sino decisiones. Cuatro proyectos definirán si el gas natural llega al centro y al sur, y ninguno ha sido suscrito ni adjudicado: la novena adenda de Cálidda, que incorporaría quince localidades de siete regiones; la extensión sur del </w:t>
      </w:r>
      <w:r>
        <w:rPr>
          <w:lang w:val="es-PE"/>
        </w:rPr>
        <w:t>S</w:t>
      </w:r>
      <w:r w:rsidRPr="00552E6B">
        <w:rPr>
          <w:lang w:val="es-PE"/>
        </w:rPr>
        <w:t xml:space="preserve">istema de </w:t>
      </w:r>
      <w:r>
        <w:rPr>
          <w:lang w:val="es-PE"/>
        </w:rPr>
        <w:t>T</w:t>
      </w:r>
      <w:r w:rsidRPr="00552E6B">
        <w:rPr>
          <w:lang w:val="es-PE"/>
        </w:rPr>
        <w:t>ransporte; el gasoducto regional del Cusco; y la nueva Concesión Sur Oeste, cuya administración provisional vence en diciembre de 2026.</w:t>
      </w:r>
    </w:p>
    <w:p w14:paraId="4FE0C782" w14:textId="31A50179" w:rsidR="00A37447" w:rsidRPr="00552E6B" w:rsidRDefault="009B3314">
      <w:pPr>
        <w:keepLines/>
        <w:rPr>
          <w:lang w:val="es-PE"/>
        </w:rPr>
      </w:pPr>
      <w:r>
        <w:rPr>
          <w:lang w:val="es-PE"/>
        </w:rPr>
        <w:t>Por otro lado, para acelerar nuevamente la masificación en zonas ya concesionadas, se deben reducir las grandes diferencias tarifarias a nivel geográfico y resolver los problemas de predictibilidad a la hora de designar esas tarifas. Un usuario industrial paga por el gas natural cerca del doble en la Concesión Norte y casi el triple en la Concesión Sur Oeste de lo que paga uno equivalente en Lima. La ley que crea la tarifa nivelada, aprobada en abril de 2025, no alienta por sí sola la masificación por su alcance limitado –excluye a los usuarios de mayor consumo, que son los que generan la demanda necesaria para bajar las tarifas–, y su reglamento sigue pendiente. La incertidumbre regulatoria pesa tanto como la infraestructura: en 2025 la Concesión Norte no anilló una sola vivienda nueva, tras haber anillado más de diez mil el año anterior, mientras la concesión de Piura, todavía bajo su tarifa contractual, sumó cerca de 22.000 conexiones. La fijación 2026-2030 de Lima y Callao, que reconoció cerca de 20 % menos inversiones de las sustentadas, sugiere que el desafío no se limita a las regiones: sus efectos podrían volver a sentirse este 2026, incluso en mayor magnitud, por el peso de esa concesión en las nuevas conexiones del país.</w:t>
      </w:r>
    </w:p>
    <w:p w14:paraId="7D52B44B" w14:textId="14E226DA" w:rsidR="00A37447" w:rsidRPr="00552E6B" w:rsidRDefault="00A37447">
      <w:pPr>
        <w:keepLines/>
        <w:rPr>
          <w:lang w:val="es-PE"/>
        </w:rPr>
      </w:pPr>
      <w:r w:rsidRPr="00552E6B">
        <w:rPr>
          <w:lang w:val="es-PE"/>
        </w:rPr>
        <w:t>Asegurar la oferta tiene dos plazos. Reactivar la exploración tomará años; reducir la exposición del sistema a un solo corredor de transporte y dotar al país de almacenamiento puede hacerse antes, como recordó la interrupción de marzo de 2026. Hay</w:t>
      </w:r>
      <w:r>
        <w:rPr>
          <w:lang w:val="es-PE"/>
        </w:rPr>
        <w:t>,</w:t>
      </w:r>
      <w:r w:rsidRPr="00552E6B">
        <w:rPr>
          <w:lang w:val="es-PE"/>
        </w:rPr>
        <w:t xml:space="preserve"> además</w:t>
      </w:r>
      <w:r>
        <w:rPr>
          <w:lang w:val="es-PE"/>
        </w:rPr>
        <w:t>,</w:t>
      </w:r>
      <w:r w:rsidRPr="00552E6B">
        <w:rPr>
          <w:lang w:val="es-PE"/>
        </w:rPr>
        <w:t xml:space="preserve"> recursos y habilitaciones legales sin usar: los gobiernos regionales y locales pueden financiar redes con cargo al canon desde 2012 y no lo han hecho, y la ley de aprobación automática de obras de servicios públicos espera su reglamento desde 2016.</w:t>
      </w:r>
    </w:p>
    <w:p w14:paraId="5D473A05" w14:textId="223645FE" w:rsidR="00B313C1" w:rsidRDefault="00B313C1">
      <w:pPr>
        <w:keepNext/>
        <w:spacing w:before="160"/>
        <w:jc w:val="center"/>
      </w:pPr>
      <w:r>
        <w:rPr>
          <w:noProof/>
        </w:rPr>
        <w:lastRenderedPageBreak/>
        <w:drawing>
          <wp:inline distT="0" distB="0" distL="0" distR="0" wp14:anchorId="0FD8E927" wp14:editId="0F754002">
            <wp:extent cx="4320000" cy="3120865"/>
            <wp:effectExtent l="0" t="0" r="0" b="0"/>
            <wp:docPr id="2110891798" name="Picture 9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14.png"/>
                    <pic:cNvPicPr/>
                  </pic:nvPicPr>
                  <pic:blipFill>
                    <a:blip r:embed="rId24"/>
                    <a:stretch>
                      <a:fillRect/>
                    </a:stretch>
                  </pic:blipFill>
                  <pic:spPr>
                    <a:xfrm>
                      <a:off x="0" y="0"/>
                      <a:ext cx="4320000" cy="3120865"/>
                    </a:xfrm>
                    <a:prstGeom prst="rect">
                      <a:avLst/>
                    </a:prstGeom>
                  </pic:spPr>
                </pic:pic>
              </a:graphicData>
            </a:graphic>
          </wp:inline>
        </w:drawing>
      </w:r>
    </w:p>
    <w:p w14:paraId="0A573AAF" w14:textId="77777777" w:rsidR="00A37447" w:rsidRPr="00552E6B" w:rsidRDefault="00A37447">
      <w:pPr>
        <w:rPr>
          <w:lang w:val="es-PE"/>
        </w:rPr>
      </w:pPr>
    </w:p>
    <w:p w14:paraId="08CF317C" w14:textId="77777777" w:rsidR="00A37447" w:rsidRPr="00552E6B" w:rsidRDefault="00A37447">
      <w:pPr>
        <w:keepLines/>
        <w:rPr>
          <w:lang w:val="es-PE"/>
        </w:rPr>
      </w:pPr>
      <w:r w:rsidRPr="00552E6B">
        <w:rPr>
          <w:lang w:val="es-PE"/>
        </w:rPr>
        <w:t>El balance del año es el de un sector que sigue sumando usuarios, aunque a menor ritmo, con una oferta que no se repone y con una agenda de decisiones ya identificada, cuyo principal requisito es tomarlas a tiempo.</w:t>
      </w:r>
    </w:p>
    <w:p w14:paraId="24F3DDB4" w14:textId="77777777" w:rsidR="00A37447" w:rsidRPr="00552E6B" w:rsidRDefault="00A37447">
      <w:pPr>
        <w:pStyle w:val="Ttulo1"/>
        <w:pageBreakBefore/>
        <w:rPr>
          <w:szCs w:val="22"/>
          <w:lang w:val="es-PE"/>
        </w:rPr>
      </w:pPr>
      <w:bookmarkStart w:id="2" w:name="_Toc235083016"/>
      <w:r w:rsidRPr="00552E6B">
        <w:rPr>
          <w:szCs w:val="22"/>
          <w:lang w:val="es-PE"/>
        </w:rPr>
        <w:lastRenderedPageBreak/>
        <w:t>3. El gas natural en el Perú</w:t>
      </w:r>
      <w:bookmarkEnd w:id="2"/>
    </w:p>
    <w:p w14:paraId="3A8D1689" w14:textId="77777777" w:rsidR="00A37447" w:rsidRPr="00552E6B" w:rsidRDefault="00A37447">
      <w:pPr>
        <w:pStyle w:val="Ttulo2"/>
        <w:spacing w:after="80"/>
        <w:rPr>
          <w:b w:val="0"/>
          <w:szCs w:val="22"/>
          <w:lang w:val="es-PE"/>
        </w:rPr>
      </w:pPr>
      <w:bookmarkStart w:id="3" w:name="_Toc235083017"/>
      <w:r w:rsidRPr="00552E6B">
        <w:rPr>
          <w:szCs w:val="22"/>
          <w:lang w:val="es-PE"/>
        </w:rPr>
        <w:t>3.1. Entorno económico</w:t>
      </w:r>
      <w:bookmarkEnd w:id="3"/>
    </w:p>
    <w:p w14:paraId="0FAA239D" w14:textId="7AEDB4B0" w:rsidR="00A37447" w:rsidRPr="00552E6B" w:rsidRDefault="00A37447">
      <w:pPr>
        <w:keepLines/>
        <w:rPr>
          <w:lang w:val="es-PE"/>
        </w:rPr>
      </w:pPr>
      <w:r w:rsidRPr="00552E6B">
        <w:rPr>
          <w:lang w:val="es-PE"/>
        </w:rPr>
        <w:t xml:space="preserve">En 2025, la economía peruana registró un crecimiento más generalizado que en 2024, con la demanda interna expandiéndose cerca de </w:t>
      </w:r>
      <w:r w:rsidR="00485C35">
        <w:rPr>
          <w:lang w:val="es-PE"/>
        </w:rPr>
        <w:t>6</w:t>
      </w:r>
      <w:r w:rsidRPr="00552E6B">
        <w:rPr>
          <w:lang w:val="es-PE"/>
        </w:rPr>
        <w:t xml:space="preserve"> %, su mayor tasa en doce años excluyendo el rebote pospandemia. El principal motor fue la inversión privada, que creció 10 %, impulsada por una confianza empresarial que se mantuvo en terreno positivo durante todo el año: el indicador de disposición a invertir cerró 2025 en 19 puntos y el de disposición a contratar en 18 puntos. Entre los proyectos más destacados figuran la ampliación de vida útil de Antamina, el inicio de construcción de Tía María, la aceleración de obras en la Línea 2 del Metro de Lima y la nueva etapa de modernización del Muelle Norte del Callao. A ello se sumó el fuerte rebote de la </w:t>
      </w:r>
      <w:r w:rsidR="0017785C">
        <w:rPr>
          <w:lang w:val="es-PE"/>
        </w:rPr>
        <w:t>agroindustria no tradicional</w:t>
      </w:r>
      <w:r w:rsidRPr="00552E6B">
        <w:rPr>
          <w:lang w:val="es-PE"/>
        </w:rPr>
        <w:t>, cuyo volumen creció 1</w:t>
      </w:r>
      <w:r w:rsidR="0017785C">
        <w:rPr>
          <w:lang w:val="es-PE"/>
        </w:rPr>
        <w:t>3</w:t>
      </w:r>
      <w:r w:rsidRPr="00552E6B">
        <w:rPr>
          <w:lang w:val="es-PE"/>
        </w:rPr>
        <w:t xml:space="preserve"> % tras el impacto del </w:t>
      </w:r>
      <w:r>
        <w:rPr>
          <w:lang w:val="es-PE"/>
        </w:rPr>
        <w:t>f</w:t>
      </w:r>
      <w:r w:rsidRPr="00552E6B">
        <w:rPr>
          <w:lang w:val="es-PE"/>
        </w:rPr>
        <w:t xml:space="preserve">enómeno </w:t>
      </w:r>
      <w:r>
        <w:rPr>
          <w:lang w:val="es-PE"/>
        </w:rPr>
        <w:t xml:space="preserve">de </w:t>
      </w:r>
      <w:r w:rsidRPr="00552E6B">
        <w:rPr>
          <w:lang w:val="es-PE"/>
        </w:rPr>
        <w:t xml:space="preserve">El Niño 2023-2024, y un crecimiento de la producción minera de 2 % que, combinado con precios de metales en máximos históricos, llevó el valor de las exportaciones mineras a un récord de US$ </w:t>
      </w:r>
      <w:r w:rsidR="0060712B">
        <w:rPr>
          <w:lang w:val="es-PE"/>
        </w:rPr>
        <w:t>62</w:t>
      </w:r>
      <w:r w:rsidRPr="00552E6B">
        <w:rPr>
          <w:lang w:val="es-PE"/>
        </w:rPr>
        <w:t>.000 millones.</w:t>
      </w:r>
    </w:p>
    <w:p w14:paraId="63DE2B8C" w14:textId="1D49404C" w:rsidR="00C75A27" w:rsidRPr="00786EA0" w:rsidRDefault="00A37447" w:rsidP="00534316">
      <w:pPr>
        <w:keepLines/>
        <w:rPr>
          <w:lang w:val="es-PE"/>
        </w:rPr>
      </w:pPr>
      <w:r w:rsidRPr="00552E6B">
        <w:rPr>
          <w:lang w:val="es-PE"/>
        </w:rPr>
        <w:t xml:space="preserve">El dinamismo de la inversión se tradujo en una mejora más clara del empleo formal, que creció 6 %, la tasa más alta desde 2012 (excluyendo el rebote pospandemia). En un contexto de baja inflación, esto fue favorable para una recuperación más notoria de la capacidad adquisitiva de las familias. La mejora se refleja en la percepción de los hogares: por primera vez desde antes de la pandemia, la proporción de familias que considera que su situación económica está mejor que hace 12 meses (27 %) superó a la que la percibe peor (21 %), según Ipsos. Este mayor poder adquisitivo, junto con el impulso del octavo retiro de fondos de las AFP hacia el cierre del año, permitió que el consumo privado creciera </w:t>
      </w:r>
      <w:r w:rsidR="00534316">
        <w:rPr>
          <w:lang w:val="es-PE"/>
        </w:rPr>
        <w:t>casi 4</w:t>
      </w:r>
      <w:r w:rsidRPr="00552E6B">
        <w:rPr>
          <w:lang w:val="es-PE"/>
        </w:rPr>
        <w:t xml:space="preserve"> % en 2025, con sectores rezagados en años previos </w:t>
      </w:r>
      <w:r>
        <w:rPr>
          <w:lang w:val="es-PE"/>
        </w:rPr>
        <w:t>–</w:t>
      </w:r>
      <w:r w:rsidRPr="00552E6B">
        <w:rPr>
          <w:lang w:val="es-PE"/>
        </w:rPr>
        <w:t>como la autoconstrucción y el crédito de consumo</w:t>
      </w:r>
      <w:r>
        <w:rPr>
          <w:lang w:val="es-PE"/>
        </w:rPr>
        <w:t>–</w:t>
      </w:r>
      <w:r w:rsidRPr="00552E6B">
        <w:rPr>
          <w:lang w:val="es-PE"/>
        </w:rPr>
        <w:t xml:space="preserve"> comenzando a recuperarse.</w:t>
      </w:r>
    </w:p>
    <w:p w14:paraId="6E50716D" w14:textId="531EFF47" w:rsidR="00A37447" w:rsidRPr="00552E6B" w:rsidRDefault="00A37447">
      <w:pPr>
        <w:keepLines/>
        <w:rPr>
          <w:lang w:val="es-PE"/>
        </w:rPr>
      </w:pPr>
      <w:r w:rsidRPr="00552E6B">
        <w:rPr>
          <w:lang w:val="es-PE"/>
        </w:rPr>
        <w:t xml:space="preserve">En el plano externo, el entorno estuvo marcado por la elevada incertidumbre generada por los cambios abruptos en la política comercial de EE. UU. </w:t>
      </w:r>
      <w:r>
        <w:rPr>
          <w:lang w:val="es-PE"/>
        </w:rPr>
        <w:t>–</w:t>
      </w:r>
      <w:r w:rsidRPr="00552E6B">
        <w:rPr>
          <w:lang w:val="es-PE"/>
        </w:rPr>
        <w:t>en particular, la imposición de aranceles del Liberation Day en abril</w:t>
      </w:r>
      <w:r>
        <w:rPr>
          <w:lang w:val="es-PE"/>
        </w:rPr>
        <w:t>–</w:t>
      </w:r>
      <w:r w:rsidRPr="00552E6B">
        <w:rPr>
          <w:lang w:val="es-PE"/>
        </w:rPr>
        <w:t xml:space="preserve">, que generó episodios de volatilidad financiera de magnitud no observada desde la crisis de 2008. El índice de incertidumbre sobre política económica de EE. UU. superó los 700 puntos en el segundo trimestre </w:t>
      </w:r>
      <w:r>
        <w:rPr>
          <w:lang w:val="es-PE"/>
        </w:rPr>
        <w:t>–</w:t>
      </w:r>
      <w:r w:rsidRPr="00552E6B">
        <w:rPr>
          <w:lang w:val="es-PE"/>
        </w:rPr>
        <w:t>siete veces su promedio histórico y máximo de la serie</w:t>
      </w:r>
      <w:r>
        <w:rPr>
          <w:lang w:val="es-PE"/>
        </w:rPr>
        <w:t>–</w:t>
      </w:r>
      <w:r w:rsidRPr="00552E6B">
        <w:rPr>
          <w:lang w:val="es-PE"/>
        </w:rPr>
        <w:t xml:space="preserve"> y cerró el año todavía elevado, en 323 puntos, mientras que el arancel promedio estadounidense escaló a cerca de 17 %, su nivel más alto en casi 90 años. Sin embargo, el Perú contó con condiciones relativamente favorables: al país le fue asignada la tasa arancelaria más baja dentro del nuevo esquema estadounidense (10 %) y los precios de sus principales exportaciones alcanzaron niveles históricamente altos </w:t>
      </w:r>
      <w:r>
        <w:rPr>
          <w:lang w:val="es-PE"/>
        </w:rPr>
        <w:t>–</w:t>
      </w:r>
      <w:r w:rsidRPr="00552E6B">
        <w:rPr>
          <w:lang w:val="es-PE"/>
        </w:rPr>
        <w:t>el cobre llegó a US$ 5,35 por libra y el oro superó los US$ 4.300 por onza</w:t>
      </w:r>
      <w:r>
        <w:rPr>
          <w:lang w:val="es-PE"/>
        </w:rPr>
        <w:t>–</w:t>
      </w:r>
      <w:r w:rsidRPr="00552E6B">
        <w:rPr>
          <w:lang w:val="es-PE"/>
        </w:rPr>
        <w:t>. Ello permitió</w:t>
      </w:r>
      <w:r w:rsidRPr="00552E6B" w:rsidDel="00FF33FF">
        <w:rPr>
          <w:lang w:val="es-PE"/>
        </w:rPr>
        <w:t xml:space="preserve"> </w:t>
      </w:r>
      <w:r w:rsidRPr="00552E6B">
        <w:rPr>
          <w:lang w:val="es-PE"/>
        </w:rPr>
        <w:t>un superávit comercial récord de cerca de US$ 3</w:t>
      </w:r>
      <w:r w:rsidR="00E74B1A">
        <w:rPr>
          <w:lang w:val="es-PE"/>
        </w:rPr>
        <w:t>5</w:t>
      </w:r>
      <w:r w:rsidRPr="00552E6B">
        <w:rPr>
          <w:lang w:val="es-PE"/>
        </w:rPr>
        <w:t>.000 millones (10 % del PBI), una apreciación del sol hasta S/ 3,36 por dólar y que la inflación cerrara en 1,5 %, dentro del rango meta del BCR, lo que le permitió recortar su tasa de referencia a 4,25 %.</w:t>
      </w:r>
    </w:p>
    <w:p w14:paraId="5D398B99" w14:textId="77777777" w:rsidR="00C75A27" w:rsidRDefault="00D4093E">
      <w:pPr>
        <w:spacing w:before="160"/>
        <w:jc w:val="center"/>
      </w:pPr>
      <w:r>
        <w:rPr>
          <w:noProof/>
        </w:rPr>
        <w:lastRenderedPageBreak/>
        <w:drawing>
          <wp:inline distT="0" distB="0" distL="0" distR="0" wp14:anchorId="2025411B" wp14:editId="503F5B03">
            <wp:extent cx="4320000" cy="2906974"/>
            <wp:effectExtent l="0" t="0" r="0" b="0"/>
            <wp:docPr id="90148" name="Picture 9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
                    <a:stretch>
                      <a:fillRect/>
                    </a:stretch>
                  </pic:blipFill>
                  <pic:spPr>
                    <a:xfrm>
                      <a:off x="0" y="0"/>
                      <a:ext cx="4320000" cy="2906974"/>
                    </a:xfrm>
                    <a:prstGeom prst="rect">
                      <a:avLst/>
                    </a:prstGeom>
                  </pic:spPr>
                </pic:pic>
              </a:graphicData>
            </a:graphic>
          </wp:inline>
        </w:drawing>
      </w:r>
    </w:p>
    <w:p w14:paraId="03AD6273" w14:textId="77777777" w:rsidR="00C75A27" w:rsidRDefault="00D4093E">
      <w:pPr>
        <w:spacing w:before="160"/>
        <w:jc w:val="center"/>
      </w:pPr>
      <w:r>
        <w:rPr>
          <w:noProof/>
        </w:rPr>
        <w:drawing>
          <wp:inline distT="0" distB="0" distL="0" distR="0" wp14:anchorId="29935064" wp14:editId="137FDF0D">
            <wp:extent cx="4320000" cy="2955789"/>
            <wp:effectExtent l="0" t="0" r="0" b="0"/>
            <wp:docPr id="2110891779" name="Picture 9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
                    <a:stretch>
                      <a:fillRect/>
                    </a:stretch>
                  </pic:blipFill>
                  <pic:spPr>
                    <a:xfrm>
                      <a:off x="0" y="0"/>
                      <a:ext cx="4320000" cy="2955789"/>
                    </a:xfrm>
                    <a:prstGeom prst="rect">
                      <a:avLst/>
                    </a:prstGeom>
                  </pic:spPr>
                </pic:pic>
              </a:graphicData>
            </a:graphic>
          </wp:inline>
        </w:drawing>
      </w:r>
    </w:p>
    <w:p w14:paraId="5F788EBC" w14:textId="77777777" w:rsidR="00A37447" w:rsidRDefault="00A37447">
      <w:pPr>
        <w:spacing w:before="160"/>
        <w:jc w:val="center"/>
      </w:pPr>
    </w:p>
    <w:p w14:paraId="2DA67E8A" w14:textId="6734298C" w:rsidR="00C75A27" w:rsidRDefault="00D4093E">
      <w:pPr>
        <w:spacing w:before="160"/>
        <w:jc w:val="center"/>
      </w:pPr>
      <w:r>
        <w:rPr>
          <w:noProof/>
        </w:rPr>
        <w:lastRenderedPageBreak/>
        <w:drawing>
          <wp:inline distT="0" distB="0" distL="0" distR="0" wp14:anchorId="2B9CBD95" wp14:editId="3721B806">
            <wp:extent cx="4320000" cy="2929870"/>
            <wp:effectExtent l="0" t="0" r="0" b="0"/>
            <wp:docPr id="2110891804" name="Imagen 211089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
                    <a:stretch>
                      <a:fillRect/>
                    </a:stretch>
                  </pic:blipFill>
                  <pic:spPr>
                    <a:xfrm>
                      <a:off x="0" y="0"/>
                      <a:ext cx="4320000" cy="2929870"/>
                    </a:xfrm>
                    <a:prstGeom prst="rect">
                      <a:avLst/>
                    </a:prstGeom>
                  </pic:spPr>
                </pic:pic>
              </a:graphicData>
            </a:graphic>
          </wp:inline>
        </w:drawing>
      </w:r>
    </w:p>
    <w:p w14:paraId="675146C7" w14:textId="77777777" w:rsidR="00C75A27" w:rsidRDefault="00D4093E">
      <w:pPr>
        <w:spacing w:before="160"/>
        <w:jc w:val="center"/>
      </w:pPr>
      <w:r>
        <w:rPr>
          <w:noProof/>
        </w:rPr>
        <w:drawing>
          <wp:inline distT="0" distB="0" distL="0" distR="0" wp14:anchorId="239D8F2E" wp14:editId="6E8A98BF">
            <wp:extent cx="4320000" cy="3120865"/>
            <wp:effectExtent l="0" t="0" r="0" b="0"/>
            <wp:docPr id="686578604" name="Picture 9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
                    <a:stretch>
                      <a:fillRect/>
                    </a:stretch>
                  </pic:blipFill>
                  <pic:spPr>
                    <a:xfrm>
                      <a:off x="0" y="0"/>
                      <a:ext cx="4320000" cy="3120865"/>
                    </a:xfrm>
                    <a:prstGeom prst="rect">
                      <a:avLst/>
                    </a:prstGeom>
                  </pic:spPr>
                </pic:pic>
              </a:graphicData>
            </a:graphic>
          </wp:inline>
        </w:drawing>
      </w:r>
    </w:p>
    <w:p w14:paraId="3415278C" w14:textId="77777777" w:rsidR="00A37447" w:rsidRPr="00552E6B" w:rsidRDefault="00A37447">
      <w:pPr>
        <w:keepNext/>
        <w:spacing w:before="160"/>
        <w:jc w:val="center"/>
        <w:rPr>
          <w:lang w:val="es-PE"/>
        </w:rPr>
      </w:pP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3966"/>
        <w:gridCol w:w="908"/>
        <w:gridCol w:w="908"/>
        <w:gridCol w:w="908"/>
        <w:gridCol w:w="908"/>
        <w:gridCol w:w="908"/>
      </w:tblGrid>
      <w:tr w:rsidR="00855697" w14:paraId="49FD9656" w14:textId="77777777">
        <w:trPr>
          <w:cantSplit/>
          <w:tblHeader/>
        </w:trPr>
        <w:tc>
          <w:tcPr>
            <w:tcW w:w="3966" w:type="dxa"/>
            <w:shd w:val="clear" w:color="auto" w:fill="1F3864"/>
          </w:tcPr>
          <w:p w14:paraId="778EE469" w14:textId="77777777" w:rsidR="00A37447" w:rsidRDefault="00A37447">
            <w:pPr>
              <w:keepNext/>
            </w:pPr>
            <w:r>
              <w:rPr>
                <w:b/>
                <w:color w:val="FFFFFF"/>
                <w:sz w:val="17"/>
              </w:rPr>
              <w:t>Indicador</w:t>
            </w:r>
          </w:p>
        </w:tc>
        <w:tc>
          <w:tcPr>
            <w:tcW w:w="908" w:type="dxa"/>
            <w:shd w:val="clear" w:color="auto" w:fill="1F3864"/>
            <w:noWrap/>
          </w:tcPr>
          <w:p w14:paraId="3FDD924C" w14:textId="77777777" w:rsidR="00A37447" w:rsidRDefault="00A37447">
            <w:pPr>
              <w:keepNext/>
              <w:jc w:val="right"/>
            </w:pPr>
            <w:r>
              <w:rPr>
                <w:b/>
                <w:color w:val="FFFFFF"/>
                <w:sz w:val="17"/>
              </w:rPr>
              <w:t>2021</w:t>
            </w:r>
          </w:p>
        </w:tc>
        <w:tc>
          <w:tcPr>
            <w:tcW w:w="908" w:type="dxa"/>
            <w:shd w:val="clear" w:color="auto" w:fill="1F3864"/>
            <w:noWrap/>
          </w:tcPr>
          <w:p w14:paraId="324234B8" w14:textId="77777777" w:rsidR="00A37447" w:rsidRDefault="00A37447">
            <w:pPr>
              <w:keepNext/>
              <w:jc w:val="right"/>
            </w:pPr>
            <w:r>
              <w:rPr>
                <w:b/>
                <w:color w:val="FFFFFF"/>
                <w:sz w:val="17"/>
              </w:rPr>
              <w:t>2022</w:t>
            </w:r>
          </w:p>
        </w:tc>
        <w:tc>
          <w:tcPr>
            <w:tcW w:w="908" w:type="dxa"/>
            <w:shd w:val="clear" w:color="auto" w:fill="1F3864"/>
            <w:noWrap/>
          </w:tcPr>
          <w:p w14:paraId="30ED38C8" w14:textId="77777777" w:rsidR="00A37447" w:rsidRDefault="00A37447">
            <w:pPr>
              <w:keepNext/>
              <w:jc w:val="right"/>
            </w:pPr>
            <w:r>
              <w:rPr>
                <w:b/>
                <w:color w:val="FFFFFF"/>
                <w:sz w:val="17"/>
              </w:rPr>
              <w:t>2023</w:t>
            </w:r>
          </w:p>
        </w:tc>
        <w:tc>
          <w:tcPr>
            <w:tcW w:w="908" w:type="dxa"/>
            <w:shd w:val="clear" w:color="auto" w:fill="1F3864"/>
            <w:noWrap/>
          </w:tcPr>
          <w:p w14:paraId="17A82481" w14:textId="77777777" w:rsidR="00A37447" w:rsidRDefault="00A37447">
            <w:pPr>
              <w:keepNext/>
              <w:jc w:val="right"/>
            </w:pPr>
            <w:r>
              <w:rPr>
                <w:b/>
                <w:color w:val="FFFFFF"/>
                <w:sz w:val="17"/>
              </w:rPr>
              <w:t>2024</w:t>
            </w:r>
          </w:p>
        </w:tc>
        <w:tc>
          <w:tcPr>
            <w:tcW w:w="908" w:type="dxa"/>
            <w:shd w:val="clear" w:color="auto" w:fill="1F3864"/>
            <w:noWrap/>
          </w:tcPr>
          <w:p w14:paraId="288D2628" w14:textId="77777777" w:rsidR="00A37447" w:rsidRDefault="00A37447">
            <w:pPr>
              <w:keepNext/>
              <w:jc w:val="right"/>
            </w:pPr>
            <w:r>
              <w:rPr>
                <w:b/>
                <w:color w:val="FFFFFF"/>
                <w:sz w:val="17"/>
              </w:rPr>
              <w:t>2025</w:t>
            </w:r>
          </w:p>
        </w:tc>
      </w:tr>
      <w:tr w:rsidR="00855697" w14:paraId="6019F6CD" w14:textId="77777777">
        <w:trPr>
          <w:cantSplit/>
        </w:trPr>
        <w:tc>
          <w:tcPr>
            <w:tcW w:w="3966" w:type="dxa"/>
          </w:tcPr>
          <w:p w14:paraId="207D37DD" w14:textId="77777777" w:rsidR="00A37447" w:rsidRDefault="00A37447">
            <w:pPr>
              <w:keepNext/>
              <w:spacing w:after="20"/>
            </w:pPr>
            <w:r>
              <w:rPr>
                <w:sz w:val="17"/>
              </w:rPr>
              <w:t>PBI (var. % real)</w:t>
            </w:r>
          </w:p>
        </w:tc>
        <w:tc>
          <w:tcPr>
            <w:tcW w:w="908" w:type="dxa"/>
            <w:noWrap/>
          </w:tcPr>
          <w:p w14:paraId="7ED4CBDC" w14:textId="77777777" w:rsidR="00A37447" w:rsidRDefault="00A37447">
            <w:pPr>
              <w:keepNext/>
              <w:spacing w:after="20"/>
              <w:jc w:val="right"/>
            </w:pPr>
            <w:r>
              <w:rPr>
                <w:sz w:val="16"/>
              </w:rPr>
              <w:t>13,4 %</w:t>
            </w:r>
          </w:p>
        </w:tc>
        <w:tc>
          <w:tcPr>
            <w:tcW w:w="908" w:type="dxa"/>
            <w:noWrap/>
          </w:tcPr>
          <w:p w14:paraId="449DA810" w14:textId="77777777" w:rsidR="00A37447" w:rsidRDefault="00A37447">
            <w:pPr>
              <w:keepNext/>
              <w:spacing w:after="20"/>
              <w:jc w:val="right"/>
            </w:pPr>
            <w:r>
              <w:rPr>
                <w:sz w:val="16"/>
              </w:rPr>
              <w:t>2,8 %</w:t>
            </w:r>
          </w:p>
        </w:tc>
        <w:tc>
          <w:tcPr>
            <w:tcW w:w="908" w:type="dxa"/>
            <w:noWrap/>
          </w:tcPr>
          <w:p w14:paraId="6F455270" w14:textId="77777777" w:rsidR="00A37447" w:rsidRDefault="00A37447">
            <w:pPr>
              <w:keepNext/>
              <w:spacing w:after="20"/>
              <w:jc w:val="right"/>
            </w:pPr>
            <w:r>
              <w:rPr>
                <w:sz w:val="16"/>
              </w:rPr>
              <w:t>-0,4 %</w:t>
            </w:r>
          </w:p>
        </w:tc>
        <w:tc>
          <w:tcPr>
            <w:tcW w:w="908" w:type="dxa"/>
            <w:noWrap/>
          </w:tcPr>
          <w:p w14:paraId="517890B7" w14:textId="61EFCCB5" w:rsidR="00A37447" w:rsidRDefault="00A37447">
            <w:pPr>
              <w:keepNext/>
              <w:spacing w:after="20"/>
              <w:jc w:val="right"/>
            </w:pPr>
            <w:r>
              <w:rPr>
                <w:sz w:val="16"/>
              </w:rPr>
              <w:t>3,</w:t>
            </w:r>
            <w:r w:rsidR="00A85E9C">
              <w:rPr>
                <w:sz w:val="16"/>
              </w:rPr>
              <w:t>5</w:t>
            </w:r>
            <w:r>
              <w:rPr>
                <w:sz w:val="16"/>
              </w:rPr>
              <w:t xml:space="preserve"> %</w:t>
            </w:r>
          </w:p>
        </w:tc>
        <w:tc>
          <w:tcPr>
            <w:tcW w:w="908" w:type="dxa"/>
            <w:noWrap/>
          </w:tcPr>
          <w:p w14:paraId="1954AA67" w14:textId="77777777" w:rsidR="00A37447" w:rsidRDefault="00A37447">
            <w:pPr>
              <w:keepNext/>
              <w:spacing w:after="20"/>
              <w:jc w:val="right"/>
            </w:pPr>
            <w:r>
              <w:rPr>
                <w:sz w:val="16"/>
              </w:rPr>
              <w:t>3,4 %</w:t>
            </w:r>
          </w:p>
        </w:tc>
      </w:tr>
      <w:tr w:rsidR="00855697" w14:paraId="6CD50FCF" w14:textId="77777777">
        <w:trPr>
          <w:cantSplit/>
        </w:trPr>
        <w:tc>
          <w:tcPr>
            <w:tcW w:w="3966" w:type="dxa"/>
          </w:tcPr>
          <w:p w14:paraId="5F1DF7F4" w14:textId="77777777" w:rsidR="00A37447" w:rsidRDefault="00A37447">
            <w:pPr>
              <w:keepNext/>
              <w:spacing w:after="20"/>
            </w:pPr>
            <w:r>
              <w:rPr>
                <w:sz w:val="17"/>
              </w:rPr>
              <w:t>Inversión privada (var. % real)</w:t>
            </w:r>
          </w:p>
        </w:tc>
        <w:tc>
          <w:tcPr>
            <w:tcW w:w="908" w:type="dxa"/>
            <w:noWrap/>
          </w:tcPr>
          <w:p w14:paraId="1BBE318C" w14:textId="7ADF84C4" w:rsidR="00A37447" w:rsidRDefault="00A37447">
            <w:pPr>
              <w:keepNext/>
              <w:spacing w:after="20"/>
              <w:jc w:val="right"/>
            </w:pPr>
            <w:r>
              <w:rPr>
                <w:sz w:val="16"/>
              </w:rPr>
              <w:t>3</w:t>
            </w:r>
            <w:r w:rsidR="00A85E9C">
              <w:rPr>
                <w:sz w:val="16"/>
              </w:rPr>
              <w:t>5</w:t>
            </w:r>
            <w:r>
              <w:rPr>
                <w:sz w:val="16"/>
              </w:rPr>
              <w:t>,</w:t>
            </w:r>
            <w:r w:rsidR="00A85E9C">
              <w:rPr>
                <w:sz w:val="16"/>
              </w:rPr>
              <w:t>2</w:t>
            </w:r>
            <w:r>
              <w:rPr>
                <w:sz w:val="16"/>
              </w:rPr>
              <w:t xml:space="preserve"> %</w:t>
            </w:r>
          </w:p>
        </w:tc>
        <w:tc>
          <w:tcPr>
            <w:tcW w:w="908" w:type="dxa"/>
            <w:noWrap/>
          </w:tcPr>
          <w:p w14:paraId="6A7F7C88" w14:textId="18603181" w:rsidR="00A37447" w:rsidRDefault="00A37447">
            <w:pPr>
              <w:keepNext/>
              <w:spacing w:after="20"/>
              <w:jc w:val="right"/>
            </w:pPr>
            <w:r>
              <w:rPr>
                <w:sz w:val="16"/>
              </w:rPr>
              <w:t>0,</w:t>
            </w:r>
            <w:r w:rsidR="00A85E9C">
              <w:rPr>
                <w:sz w:val="16"/>
              </w:rPr>
              <w:t>0</w:t>
            </w:r>
            <w:r>
              <w:rPr>
                <w:sz w:val="16"/>
              </w:rPr>
              <w:t xml:space="preserve"> %</w:t>
            </w:r>
          </w:p>
        </w:tc>
        <w:tc>
          <w:tcPr>
            <w:tcW w:w="908" w:type="dxa"/>
            <w:noWrap/>
          </w:tcPr>
          <w:p w14:paraId="37D961D8" w14:textId="13A55BCD" w:rsidR="00A37447" w:rsidRDefault="00A37447">
            <w:pPr>
              <w:keepNext/>
              <w:spacing w:after="20"/>
              <w:jc w:val="right"/>
            </w:pPr>
            <w:r>
              <w:rPr>
                <w:sz w:val="16"/>
              </w:rPr>
              <w:t>-</w:t>
            </w:r>
            <w:r w:rsidR="00A85E9C">
              <w:rPr>
                <w:sz w:val="16"/>
              </w:rPr>
              <w:t>6</w:t>
            </w:r>
            <w:r>
              <w:rPr>
                <w:sz w:val="16"/>
              </w:rPr>
              <w:t>,</w:t>
            </w:r>
            <w:r w:rsidR="00A85E9C">
              <w:rPr>
                <w:sz w:val="16"/>
              </w:rPr>
              <w:t>1</w:t>
            </w:r>
            <w:r>
              <w:rPr>
                <w:sz w:val="16"/>
              </w:rPr>
              <w:t xml:space="preserve"> %</w:t>
            </w:r>
          </w:p>
        </w:tc>
        <w:tc>
          <w:tcPr>
            <w:tcW w:w="908" w:type="dxa"/>
            <w:noWrap/>
          </w:tcPr>
          <w:p w14:paraId="298B7FA6" w14:textId="13BE1119" w:rsidR="00A37447" w:rsidRDefault="00A85E9C">
            <w:pPr>
              <w:keepNext/>
              <w:spacing w:after="20"/>
              <w:jc w:val="right"/>
            </w:pPr>
            <w:r>
              <w:rPr>
                <w:sz w:val="16"/>
              </w:rPr>
              <w:t>3</w:t>
            </w:r>
            <w:r w:rsidR="00A37447">
              <w:rPr>
                <w:sz w:val="16"/>
              </w:rPr>
              <w:t>,</w:t>
            </w:r>
            <w:r>
              <w:rPr>
                <w:sz w:val="16"/>
              </w:rPr>
              <w:t>3</w:t>
            </w:r>
            <w:r w:rsidR="00A37447">
              <w:rPr>
                <w:sz w:val="16"/>
              </w:rPr>
              <w:t xml:space="preserve"> %</w:t>
            </w:r>
          </w:p>
        </w:tc>
        <w:tc>
          <w:tcPr>
            <w:tcW w:w="908" w:type="dxa"/>
            <w:noWrap/>
          </w:tcPr>
          <w:p w14:paraId="67ACD786" w14:textId="77777777" w:rsidR="00A37447" w:rsidRDefault="00A37447">
            <w:pPr>
              <w:keepNext/>
              <w:spacing w:after="20"/>
              <w:jc w:val="right"/>
            </w:pPr>
            <w:r>
              <w:rPr>
                <w:sz w:val="16"/>
              </w:rPr>
              <w:t>10,0 %</w:t>
            </w:r>
          </w:p>
        </w:tc>
      </w:tr>
      <w:tr w:rsidR="00855697" w14:paraId="4D63E413" w14:textId="77777777">
        <w:trPr>
          <w:cantSplit/>
        </w:trPr>
        <w:tc>
          <w:tcPr>
            <w:tcW w:w="3966" w:type="dxa"/>
          </w:tcPr>
          <w:p w14:paraId="44CC7A20" w14:textId="77777777" w:rsidR="00A37447" w:rsidRDefault="00A37447">
            <w:pPr>
              <w:keepNext/>
              <w:spacing w:after="20"/>
            </w:pPr>
            <w:r>
              <w:rPr>
                <w:sz w:val="17"/>
              </w:rPr>
              <w:t>Consumo privado (var. % real)</w:t>
            </w:r>
          </w:p>
        </w:tc>
        <w:tc>
          <w:tcPr>
            <w:tcW w:w="908" w:type="dxa"/>
            <w:noWrap/>
          </w:tcPr>
          <w:p w14:paraId="7375F643" w14:textId="5F470C01" w:rsidR="00A37447" w:rsidRDefault="00A37447">
            <w:pPr>
              <w:keepNext/>
              <w:spacing w:after="20"/>
              <w:jc w:val="right"/>
            </w:pPr>
            <w:r>
              <w:rPr>
                <w:sz w:val="16"/>
              </w:rPr>
              <w:t>12,</w:t>
            </w:r>
            <w:r w:rsidR="00B67672">
              <w:rPr>
                <w:sz w:val="16"/>
              </w:rPr>
              <w:t>5</w:t>
            </w:r>
            <w:r>
              <w:rPr>
                <w:sz w:val="16"/>
              </w:rPr>
              <w:t xml:space="preserve"> %</w:t>
            </w:r>
          </w:p>
        </w:tc>
        <w:tc>
          <w:tcPr>
            <w:tcW w:w="908" w:type="dxa"/>
            <w:noWrap/>
          </w:tcPr>
          <w:p w14:paraId="0F7563FA" w14:textId="6861B88C" w:rsidR="00A37447" w:rsidRDefault="00A37447">
            <w:pPr>
              <w:keepNext/>
              <w:spacing w:after="20"/>
              <w:jc w:val="right"/>
            </w:pPr>
            <w:r>
              <w:rPr>
                <w:sz w:val="16"/>
              </w:rPr>
              <w:t>3,</w:t>
            </w:r>
            <w:r w:rsidR="00B67672">
              <w:rPr>
                <w:sz w:val="16"/>
              </w:rPr>
              <w:t>5</w:t>
            </w:r>
            <w:r>
              <w:rPr>
                <w:sz w:val="16"/>
              </w:rPr>
              <w:t xml:space="preserve"> %</w:t>
            </w:r>
          </w:p>
        </w:tc>
        <w:tc>
          <w:tcPr>
            <w:tcW w:w="908" w:type="dxa"/>
            <w:noWrap/>
          </w:tcPr>
          <w:p w14:paraId="25891635" w14:textId="77777777" w:rsidR="00A37447" w:rsidRDefault="00A37447">
            <w:pPr>
              <w:keepNext/>
              <w:spacing w:after="20"/>
              <w:jc w:val="right"/>
            </w:pPr>
            <w:r>
              <w:rPr>
                <w:sz w:val="16"/>
              </w:rPr>
              <w:t>0,1 %</w:t>
            </w:r>
          </w:p>
        </w:tc>
        <w:tc>
          <w:tcPr>
            <w:tcW w:w="908" w:type="dxa"/>
            <w:noWrap/>
          </w:tcPr>
          <w:p w14:paraId="1725C56D" w14:textId="77777777" w:rsidR="00A37447" w:rsidRDefault="00A37447">
            <w:pPr>
              <w:keepNext/>
              <w:spacing w:after="20"/>
              <w:jc w:val="right"/>
            </w:pPr>
            <w:r>
              <w:rPr>
                <w:sz w:val="16"/>
              </w:rPr>
              <w:t>2,8 %</w:t>
            </w:r>
          </w:p>
        </w:tc>
        <w:tc>
          <w:tcPr>
            <w:tcW w:w="908" w:type="dxa"/>
            <w:noWrap/>
          </w:tcPr>
          <w:p w14:paraId="1F1395BB" w14:textId="77777777" w:rsidR="00A37447" w:rsidRDefault="00A37447">
            <w:pPr>
              <w:keepNext/>
              <w:spacing w:after="20"/>
              <w:jc w:val="right"/>
            </w:pPr>
            <w:r>
              <w:rPr>
                <w:sz w:val="16"/>
              </w:rPr>
              <w:t>3,6 %</w:t>
            </w:r>
          </w:p>
        </w:tc>
      </w:tr>
      <w:tr w:rsidR="00855697" w14:paraId="5BEDA23F" w14:textId="77777777">
        <w:trPr>
          <w:cantSplit/>
        </w:trPr>
        <w:tc>
          <w:tcPr>
            <w:tcW w:w="3966" w:type="dxa"/>
          </w:tcPr>
          <w:p w14:paraId="0C318F23" w14:textId="77777777" w:rsidR="00A37447" w:rsidRDefault="00A37447">
            <w:pPr>
              <w:keepNext/>
              <w:spacing w:after="20"/>
            </w:pPr>
            <w:r>
              <w:rPr>
                <w:sz w:val="17"/>
              </w:rPr>
              <w:t>Empleo formal privado (var. %)</w:t>
            </w:r>
          </w:p>
        </w:tc>
        <w:tc>
          <w:tcPr>
            <w:tcW w:w="908" w:type="dxa"/>
            <w:noWrap/>
          </w:tcPr>
          <w:p w14:paraId="644CEA35" w14:textId="77777777" w:rsidR="00A37447" w:rsidRDefault="00A37447">
            <w:pPr>
              <w:keepNext/>
              <w:spacing w:after="20"/>
              <w:jc w:val="right"/>
            </w:pPr>
            <w:r>
              <w:rPr>
                <w:sz w:val="16"/>
              </w:rPr>
              <w:t>7,5 %</w:t>
            </w:r>
          </w:p>
        </w:tc>
        <w:tc>
          <w:tcPr>
            <w:tcW w:w="908" w:type="dxa"/>
            <w:noWrap/>
          </w:tcPr>
          <w:p w14:paraId="75C1F1CE" w14:textId="77777777" w:rsidR="00A37447" w:rsidRDefault="00A37447">
            <w:pPr>
              <w:keepNext/>
              <w:spacing w:after="20"/>
              <w:jc w:val="right"/>
            </w:pPr>
            <w:r>
              <w:rPr>
                <w:sz w:val="16"/>
              </w:rPr>
              <w:t>8,8 %</w:t>
            </w:r>
          </w:p>
        </w:tc>
        <w:tc>
          <w:tcPr>
            <w:tcW w:w="908" w:type="dxa"/>
            <w:noWrap/>
          </w:tcPr>
          <w:p w14:paraId="2C666406" w14:textId="77777777" w:rsidR="00A37447" w:rsidRDefault="00A37447">
            <w:pPr>
              <w:keepNext/>
              <w:spacing w:after="20"/>
              <w:jc w:val="right"/>
            </w:pPr>
            <w:r>
              <w:rPr>
                <w:sz w:val="16"/>
              </w:rPr>
              <w:t>3,1 %</w:t>
            </w:r>
          </w:p>
        </w:tc>
        <w:tc>
          <w:tcPr>
            <w:tcW w:w="908" w:type="dxa"/>
            <w:noWrap/>
          </w:tcPr>
          <w:p w14:paraId="6F17FB24" w14:textId="0EF344C9" w:rsidR="00A37447" w:rsidRDefault="00B67672">
            <w:pPr>
              <w:keepNext/>
              <w:spacing w:after="20"/>
              <w:jc w:val="right"/>
            </w:pPr>
            <w:r>
              <w:rPr>
                <w:sz w:val="16"/>
              </w:rPr>
              <w:t>2,9</w:t>
            </w:r>
            <w:r w:rsidR="00A37447">
              <w:rPr>
                <w:sz w:val="16"/>
              </w:rPr>
              <w:t xml:space="preserve"> %</w:t>
            </w:r>
          </w:p>
        </w:tc>
        <w:tc>
          <w:tcPr>
            <w:tcW w:w="908" w:type="dxa"/>
            <w:noWrap/>
          </w:tcPr>
          <w:p w14:paraId="060A806E" w14:textId="47744790" w:rsidR="00A37447" w:rsidRDefault="002B58C4">
            <w:pPr>
              <w:keepNext/>
              <w:spacing w:after="20"/>
              <w:jc w:val="right"/>
            </w:pPr>
            <w:r>
              <w:rPr>
                <w:sz w:val="16"/>
              </w:rPr>
              <w:t>6,1 %</w:t>
            </w:r>
          </w:p>
        </w:tc>
      </w:tr>
      <w:tr w:rsidR="00855697" w14:paraId="4ACC3F34" w14:textId="77777777">
        <w:trPr>
          <w:cantSplit/>
        </w:trPr>
        <w:tc>
          <w:tcPr>
            <w:tcW w:w="3966" w:type="dxa"/>
          </w:tcPr>
          <w:p w14:paraId="4676441F" w14:textId="77777777" w:rsidR="00A37447" w:rsidRDefault="00A37447">
            <w:pPr>
              <w:keepNext/>
              <w:spacing w:after="20"/>
            </w:pPr>
            <w:r>
              <w:rPr>
                <w:sz w:val="17"/>
              </w:rPr>
              <w:t>Inflación (fin de periodo, %)</w:t>
            </w:r>
          </w:p>
        </w:tc>
        <w:tc>
          <w:tcPr>
            <w:tcW w:w="908" w:type="dxa"/>
            <w:noWrap/>
          </w:tcPr>
          <w:p w14:paraId="42202F0E" w14:textId="77777777" w:rsidR="00A37447" w:rsidRDefault="00A37447">
            <w:pPr>
              <w:keepNext/>
              <w:spacing w:after="20"/>
              <w:jc w:val="right"/>
            </w:pPr>
            <w:r>
              <w:rPr>
                <w:sz w:val="16"/>
              </w:rPr>
              <w:t>6,4 %</w:t>
            </w:r>
          </w:p>
        </w:tc>
        <w:tc>
          <w:tcPr>
            <w:tcW w:w="908" w:type="dxa"/>
            <w:noWrap/>
          </w:tcPr>
          <w:p w14:paraId="67BA0519" w14:textId="77777777" w:rsidR="00A37447" w:rsidRDefault="00A37447">
            <w:pPr>
              <w:keepNext/>
              <w:spacing w:after="20"/>
              <w:jc w:val="right"/>
            </w:pPr>
            <w:r>
              <w:rPr>
                <w:sz w:val="16"/>
              </w:rPr>
              <w:t>8,5 %</w:t>
            </w:r>
          </w:p>
        </w:tc>
        <w:tc>
          <w:tcPr>
            <w:tcW w:w="908" w:type="dxa"/>
            <w:noWrap/>
          </w:tcPr>
          <w:p w14:paraId="66628831" w14:textId="77777777" w:rsidR="00A37447" w:rsidRDefault="00A37447">
            <w:pPr>
              <w:keepNext/>
              <w:spacing w:after="20"/>
              <w:jc w:val="right"/>
            </w:pPr>
            <w:r>
              <w:rPr>
                <w:sz w:val="16"/>
              </w:rPr>
              <w:t>3,2 %</w:t>
            </w:r>
          </w:p>
        </w:tc>
        <w:tc>
          <w:tcPr>
            <w:tcW w:w="908" w:type="dxa"/>
            <w:noWrap/>
          </w:tcPr>
          <w:p w14:paraId="6D0FA028" w14:textId="77777777" w:rsidR="00A37447" w:rsidRDefault="00A37447">
            <w:pPr>
              <w:keepNext/>
              <w:spacing w:after="20"/>
              <w:jc w:val="right"/>
            </w:pPr>
            <w:r>
              <w:rPr>
                <w:sz w:val="16"/>
              </w:rPr>
              <w:t>2,0 %</w:t>
            </w:r>
          </w:p>
        </w:tc>
        <w:tc>
          <w:tcPr>
            <w:tcW w:w="908" w:type="dxa"/>
            <w:noWrap/>
          </w:tcPr>
          <w:p w14:paraId="0B800F01" w14:textId="77777777" w:rsidR="00A37447" w:rsidRDefault="00A37447">
            <w:pPr>
              <w:keepNext/>
              <w:spacing w:after="20"/>
              <w:jc w:val="right"/>
            </w:pPr>
            <w:r>
              <w:rPr>
                <w:sz w:val="16"/>
              </w:rPr>
              <w:t>1,5 %</w:t>
            </w:r>
          </w:p>
        </w:tc>
      </w:tr>
      <w:tr w:rsidR="00855697" w14:paraId="740A4DED" w14:textId="77777777">
        <w:trPr>
          <w:cantSplit/>
        </w:trPr>
        <w:tc>
          <w:tcPr>
            <w:tcW w:w="3966" w:type="dxa"/>
          </w:tcPr>
          <w:p w14:paraId="18A17D51" w14:textId="77777777" w:rsidR="00A37447" w:rsidRPr="00552E6B" w:rsidRDefault="00A37447">
            <w:pPr>
              <w:keepNext/>
              <w:spacing w:after="20"/>
              <w:rPr>
                <w:lang w:val="es-PE"/>
              </w:rPr>
            </w:pPr>
            <w:r w:rsidRPr="00552E6B">
              <w:rPr>
                <w:sz w:val="17"/>
                <w:lang w:val="es-PE"/>
              </w:rPr>
              <w:t>Tipo de cambio (fin de periodo)</w:t>
            </w:r>
          </w:p>
        </w:tc>
        <w:tc>
          <w:tcPr>
            <w:tcW w:w="908" w:type="dxa"/>
            <w:noWrap/>
          </w:tcPr>
          <w:p w14:paraId="06515496" w14:textId="77777777" w:rsidR="00A37447" w:rsidRDefault="00A37447">
            <w:pPr>
              <w:keepNext/>
              <w:spacing w:after="20"/>
              <w:jc w:val="right"/>
            </w:pPr>
            <w:r>
              <w:rPr>
                <w:sz w:val="16"/>
              </w:rPr>
              <w:t>3,99</w:t>
            </w:r>
          </w:p>
        </w:tc>
        <w:tc>
          <w:tcPr>
            <w:tcW w:w="908" w:type="dxa"/>
            <w:noWrap/>
          </w:tcPr>
          <w:p w14:paraId="7926AEE5" w14:textId="77777777" w:rsidR="00A37447" w:rsidRDefault="00A37447">
            <w:pPr>
              <w:keepNext/>
              <w:spacing w:after="20"/>
              <w:jc w:val="right"/>
            </w:pPr>
            <w:r>
              <w:rPr>
                <w:sz w:val="16"/>
              </w:rPr>
              <w:t>3,81</w:t>
            </w:r>
          </w:p>
        </w:tc>
        <w:tc>
          <w:tcPr>
            <w:tcW w:w="908" w:type="dxa"/>
            <w:noWrap/>
          </w:tcPr>
          <w:p w14:paraId="5C106E11" w14:textId="77777777" w:rsidR="00A37447" w:rsidRDefault="00A37447">
            <w:pPr>
              <w:keepNext/>
              <w:spacing w:after="20"/>
              <w:jc w:val="right"/>
            </w:pPr>
            <w:r>
              <w:rPr>
                <w:sz w:val="16"/>
              </w:rPr>
              <w:t>3,71</w:t>
            </w:r>
          </w:p>
        </w:tc>
        <w:tc>
          <w:tcPr>
            <w:tcW w:w="908" w:type="dxa"/>
            <w:noWrap/>
          </w:tcPr>
          <w:p w14:paraId="7D5B6B26" w14:textId="77777777" w:rsidR="00A37447" w:rsidRDefault="00A37447">
            <w:pPr>
              <w:keepNext/>
              <w:spacing w:after="20"/>
              <w:jc w:val="right"/>
            </w:pPr>
            <w:r>
              <w:rPr>
                <w:sz w:val="16"/>
              </w:rPr>
              <w:t>3,77</w:t>
            </w:r>
          </w:p>
        </w:tc>
        <w:tc>
          <w:tcPr>
            <w:tcW w:w="908" w:type="dxa"/>
            <w:noWrap/>
          </w:tcPr>
          <w:p w14:paraId="372A7D01" w14:textId="77777777" w:rsidR="00A37447" w:rsidRDefault="00A37447">
            <w:pPr>
              <w:keepNext/>
              <w:spacing w:after="20"/>
              <w:jc w:val="right"/>
            </w:pPr>
            <w:r>
              <w:rPr>
                <w:sz w:val="16"/>
              </w:rPr>
              <w:t>3,36</w:t>
            </w:r>
          </w:p>
        </w:tc>
      </w:tr>
      <w:tr w:rsidR="00855697" w14:paraId="59C48079" w14:textId="77777777">
        <w:trPr>
          <w:cantSplit/>
        </w:trPr>
        <w:tc>
          <w:tcPr>
            <w:tcW w:w="3966" w:type="dxa"/>
          </w:tcPr>
          <w:p w14:paraId="4A5C70A3" w14:textId="77777777" w:rsidR="00A37447" w:rsidRDefault="00A37447">
            <w:pPr>
              <w:keepNext/>
              <w:spacing w:after="20"/>
            </w:pPr>
            <w:r>
              <w:rPr>
                <w:sz w:val="17"/>
              </w:rPr>
              <w:t>Riesgo país, EMBIG (pbs)</w:t>
            </w:r>
          </w:p>
        </w:tc>
        <w:tc>
          <w:tcPr>
            <w:tcW w:w="908" w:type="dxa"/>
            <w:noWrap/>
          </w:tcPr>
          <w:p w14:paraId="5759FAA6" w14:textId="77777777" w:rsidR="00A37447" w:rsidRDefault="00A37447">
            <w:pPr>
              <w:keepNext/>
              <w:spacing w:after="20"/>
              <w:jc w:val="right"/>
            </w:pPr>
            <w:r>
              <w:rPr>
                <w:sz w:val="16"/>
              </w:rPr>
              <w:t>174</w:t>
            </w:r>
          </w:p>
        </w:tc>
        <w:tc>
          <w:tcPr>
            <w:tcW w:w="908" w:type="dxa"/>
            <w:noWrap/>
          </w:tcPr>
          <w:p w14:paraId="31F19F8D" w14:textId="77777777" w:rsidR="00A37447" w:rsidRDefault="00A37447">
            <w:pPr>
              <w:keepNext/>
              <w:spacing w:after="20"/>
              <w:jc w:val="right"/>
            </w:pPr>
            <w:r>
              <w:rPr>
                <w:sz w:val="16"/>
              </w:rPr>
              <w:t>196</w:t>
            </w:r>
          </w:p>
        </w:tc>
        <w:tc>
          <w:tcPr>
            <w:tcW w:w="908" w:type="dxa"/>
            <w:noWrap/>
          </w:tcPr>
          <w:p w14:paraId="1D82B79F" w14:textId="77777777" w:rsidR="00A37447" w:rsidRDefault="00A37447">
            <w:pPr>
              <w:keepNext/>
              <w:spacing w:after="20"/>
              <w:jc w:val="right"/>
            </w:pPr>
            <w:r>
              <w:rPr>
                <w:sz w:val="16"/>
              </w:rPr>
              <w:t>162</w:t>
            </w:r>
          </w:p>
        </w:tc>
        <w:tc>
          <w:tcPr>
            <w:tcW w:w="908" w:type="dxa"/>
            <w:noWrap/>
          </w:tcPr>
          <w:p w14:paraId="3ACB089B" w14:textId="77777777" w:rsidR="00A37447" w:rsidRDefault="00A37447">
            <w:pPr>
              <w:keepNext/>
              <w:spacing w:after="20"/>
              <w:jc w:val="right"/>
            </w:pPr>
            <w:r>
              <w:rPr>
                <w:sz w:val="16"/>
              </w:rPr>
              <w:t>154</w:t>
            </w:r>
          </w:p>
        </w:tc>
        <w:tc>
          <w:tcPr>
            <w:tcW w:w="908" w:type="dxa"/>
            <w:noWrap/>
          </w:tcPr>
          <w:p w14:paraId="1A1604D8" w14:textId="09196502" w:rsidR="00A37447" w:rsidRDefault="00A37447">
            <w:pPr>
              <w:keepNext/>
              <w:spacing w:after="20"/>
              <w:jc w:val="right"/>
            </w:pPr>
            <w:r>
              <w:rPr>
                <w:sz w:val="16"/>
              </w:rPr>
              <w:t>1</w:t>
            </w:r>
            <w:r w:rsidR="007D4211">
              <w:rPr>
                <w:sz w:val="16"/>
              </w:rPr>
              <w:t>27</w:t>
            </w:r>
          </w:p>
        </w:tc>
      </w:tr>
    </w:tbl>
    <w:p w14:paraId="62819006" w14:textId="77777777" w:rsidR="00A37447" w:rsidRDefault="00A37447">
      <w:pPr>
        <w:keepLines/>
        <w:spacing w:before="40"/>
        <w:jc w:val="right"/>
      </w:pPr>
      <w:r>
        <w:rPr>
          <w:b/>
          <w:color w:val="404040"/>
          <w:sz w:val="15"/>
        </w:rPr>
        <w:t>FUENTE: BCR, INEI</w:t>
      </w:r>
    </w:p>
    <w:p w14:paraId="1F7F2FDE" w14:textId="77777777" w:rsidR="00A37447" w:rsidRPr="00A7205F" w:rsidRDefault="00A37447">
      <w:pPr>
        <w:pStyle w:val="Ttulo2"/>
        <w:spacing w:after="80"/>
        <w:rPr>
          <w:szCs w:val="22"/>
        </w:rPr>
      </w:pPr>
      <w:bookmarkStart w:id="4" w:name="_Toc235083018"/>
      <w:r>
        <w:rPr>
          <w:szCs w:val="22"/>
        </w:rPr>
        <w:lastRenderedPageBreak/>
        <w:t>3.2. Cifras del sector</w:t>
      </w:r>
      <w:bookmarkEnd w:id="4"/>
    </w:p>
    <w:p w14:paraId="6D5C0A86" w14:textId="77777777" w:rsidR="00A37447" w:rsidRPr="00552E6B" w:rsidRDefault="00A37447">
      <w:pPr>
        <w:pStyle w:val="Ttulo3"/>
        <w:rPr>
          <w:lang w:val="es-PE"/>
        </w:rPr>
      </w:pPr>
      <w:bookmarkStart w:id="5" w:name="_Toc235083019"/>
      <w:r w:rsidRPr="00552E6B">
        <w:rPr>
          <w:lang w:val="es-PE"/>
        </w:rPr>
        <w:t>3.2.1. Canasta energética y emisiones de CO₂</w:t>
      </w:r>
      <w:bookmarkEnd w:id="5"/>
    </w:p>
    <w:p w14:paraId="7F0C9D54" w14:textId="54BAC7B0" w:rsidR="00A37447" w:rsidRPr="00552E6B" w:rsidRDefault="00A37447">
      <w:pPr>
        <w:keepLines/>
        <w:spacing w:after="120"/>
        <w:rPr>
          <w:lang w:val="es-PE"/>
        </w:rPr>
      </w:pPr>
      <w:r w:rsidRPr="00552E6B">
        <w:rPr>
          <w:highlight w:val="yellow"/>
          <w:lang w:val="es-PE"/>
        </w:rPr>
        <w:t xml:space="preserve">En 2025, el consumo final de energía en el Perú creció 4 %, hasta 26,2 millones de toneladas de petróleo equivalente (MMtep), en línea con el crecimiento económico de 3,4 %. La composición por fuentes se mantuvo relativamente estable: el consumo de gas natural retrocedió </w:t>
      </w:r>
      <w:r w:rsidR="00AC51BF">
        <w:rPr>
          <w:highlight w:val="yellow"/>
          <w:lang w:val="es-PE"/>
        </w:rPr>
        <w:t>por segundo año consecutivo</w:t>
      </w:r>
      <w:r w:rsidRPr="00552E6B">
        <w:rPr>
          <w:highlight w:val="yellow"/>
          <w:lang w:val="es-PE"/>
        </w:rPr>
        <w:t xml:space="preserve">, hasta 7,8 MMtep, y su participación en la canasta bajó </w:t>
      </w:r>
      <w:r w:rsidR="00A004F4">
        <w:rPr>
          <w:highlight w:val="yellow"/>
          <w:lang w:val="es-PE"/>
        </w:rPr>
        <w:t xml:space="preserve">ligeramente </w:t>
      </w:r>
      <w:r w:rsidRPr="00552E6B">
        <w:rPr>
          <w:highlight w:val="yellow"/>
          <w:lang w:val="es-PE"/>
        </w:rPr>
        <w:t>a 30 %</w:t>
      </w:r>
      <w:r w:rsidR="00A004F4">
        <w:rPr>
          <w:highlight w:val="yellow"/>
          <w:lang w:val="es-PE"/>
        </w:rPr>
        <w:t>.</w:t>
      </w:r>
    </w:p>
    <w:p w14:paraId="21FC9A07" w14:textId="1F72FF0F" w:rsidR="00A37447" w:rsidRPr="00552E6B" w:rsidRDefault="6CE6B1C6">
      <w:pPr>
        <w:keepLines/>
        <w:spacing w:after="120"/>
        <w:rPr>
          <w:lang w:val="es-PE"/>
        </w:rPr>
      </w:pPr>
      <w:r w:rsidRPr="6A75BC5D">
        <w:rPr>
          <w:highlight w:val="yellow"/>
          <w:lang w:val="es-PE"/>
        </w:rPr>
        <w:t xml:space="preserve">El </w:t>
      </w:r>
      <w:r w:rsidR="1993FD15" w:rsidRPr="6A75BC5D">
        <w:rPr>
          <w:highlight w:val="yellow"/>
          <w:lang w:val="es-PE"/>
        </w:rPr>
        <w:t>retr</w:t>
      </w:r>
      <w:r w:rsidRPr="6A75BC5D">
        <w:rPr>
          <w:highlight w:val="yellow"/>
          <w:lang w:val="es-PE"/>
        </w:rPr>
        <w:t xml:space="preserve">oceso del </w:t>
      </w:r>
      <w:r w:rsidR="1993FD15" w:rsidRPr="6A75BC5D">
        <w:rPr>
          <w:highlight w:val="yellow"/>
          <w:lang w:val="es-PE"/>
        </w:rPr>
        <w:t xml:space="preserve">consumo de </w:t>
      </w:r>
      <w:r w:rsidRPr="6A75BC5D">
        <w:rPr>
          <w:highlight w:val="yellow"/>
          <w:lang w:val="es-PE"/>
        </w:rPr>
        <w:t xml:space="preserve">gas natural </w:t>
      </w:r>
      <w:r w:rsidR="1993FD15" w:rsidRPr="6A75BC5D">
        <w:rPr>
          <w:highlight w:val="yellow"/>
          <w:lang w:val="es-PE"/>
        </w:rPr>
        <w:t xml:space="preserve">en los últimos dos años </w:t>
      </w:r>
      <w:r w:rsidRPr="6A75BC5D">
        <w:rPr>
          <w:highlight w:val="yellow"/>
          <w:lang w:val="es-PE"/>
        </w:rPr>
        <w:t>reflejó su menor uso en la generación eléctrica</w:t>
      </w:r>
      <w:r>
        <w:rPr>
          <w:highlight w:val="yellow"/>
          <w:lang w:val="es-PE"/>
        </w:rPr>
        <w:t xml:space="preserve"> tras el fenómeno de El Niño de 2023-2024</w:t>
      </w:r>
      <w:r w:rsidRPr="6A75BC5D">
        <w:rPr>
          <w:highlight w:val="yellow"/>
          <w:lang w:val="es-PE"/>
        </w:rPr>
        <w:t xml:space="preserve">, </w:t>
      </w:r>
      <w:r w:rsidR="2B9531FE" w:rsidRPr="6A75BC5D">
        <w:rPr>
          <w:highlight w:val="yellow"/>
          <w:lang w:val="es-PE"/>
        </w:rPr>
        <w:t xml:space="preserve">lo que fue </w:t>
      </w:r>
      <w:r w:rsidRPr="6A75BC5D">
        <w:rPr>
          <w:highlight w:val="yellow"/>
          <w:lang w:val="es-PE"/>
        </w:rPr>
        <w:t>parcialmente compensado por el mayor consumo industrial y el dinamismo de la masificación. En paralelo, las energías renovables</w:t>
      </w:r>
      <w:r w:rsidR="6DC76F34" w:rsidRPr="6A75BC5D">
        <w:rPr>
          <w:highlight w:val="yellow"/>
          <w:lang w:val="es-PE"/>
        </w:rPr>
        <w:t xml:space="preserve"> aumentaron</w:t>
      </w:r>
      <w:r w:rsidRPr="6A75BC5D">
        <w:rPr>
          <w:highlight w:val="yellow"/>
          <w:lang w:val="es-PE"/>
        </w:rPr>
        <w:t xml:space="preserve"> </w:t>
      </w:r>
      <w:r>
        <w:rPr>
          <w:highlight w:val="yellow"/>
          <w:lang w:val="es-PE"/>
        </w:rPr>
        <w:t>9 % frente a 2024, en línea con la entrada de nuevas centrales de generación.</w:t>
      </w:r>
    </w:p>
    <w:p w14:paraId="2A9AE4E0" w14:textId="19AFB6E5" w:rsidR="00A37447" w:rsidRPr="00552E6B" w:rsidRDefault="00A37447">
      <w:pPr>
        <w:keepLines/>
        <w:spacing w:after="120"/>
        <w:rPr>
          <w:lang w:val="es-PE"/>
        </w:rPr>
      </w:pPr>
      <w:r w:rsidRPr="00552E6B">
        <w:rPr>
          <w:lang w:val="es-PE"/>
        </w:rPr>
        <w:t xml:space="preserve">Las emisiones de CO₂ asociadas a la energía siguieron subiendo en 2025, aunque a un ritmo mucho menor: 72 millones de toneladas en el Perú, 1 % más que el año anterior, frente a alzas de entre 3 % y 7 % en los tres años previos. </w:t>
      </w:r>
      <w:r w:rsidR="00114526" w:rsidRPr="00114526">
        <w:rPr>
          <w:lang w:val="es-PE"/>
        </w:rPr>
        <w:t xml:space="preserve">Un estudio de la consultora Libélula, presentado en el Peru Carbon Forum 2026 y difundido por el Consorcio Camisea, estimó que el gas natural de Camisea evitó que las emisiones del país fueran 18 % mayores en 2025 </w:t>
      </w:r>
      <w:r>
        <w:rPr>
          <w:lang w:val="es-PE"/>
        </w:rPr>
        <w:t>–</w:t>
      </w:r>
      <w:r w:rsidR="00114526" w:rsidRPr="00114526">
        <w:rPr>
          <w:lang w:val="es-PE"/>
        </w:rPr>
        <w:t>un efecto equivalente a la capacidad de absorción de más de 200 mil hectáreas de bosque</w:t>
      </w:r>
      <w:r>
        <w:rPr>
          <w:lang w:val="es-PE"/>
        </w:rPr>
        <w:t>–</w:t>
      </w:r>
      <w:r w:rsidR="00114526" w:rsidRPr="00114526">
        <w:rPr>
          <w:lang w:val="es-PE"/>
        </w:rPr>
        <w:t>.</w:t>
      </w:r>
      <w:r w:rsidR="00114526">
        <w:rPr>
          <w:lang w:val="es-PE"/>
        </w:rPr>
        <w:t xml:space="preserve"> </w:t>
      </w:r>
      <w:r w:rsidRPr="00552E6B">
        <w:rPr>
          <w:lang w:val="es-PE"/>
        </w:rPr>
        <w:t>En Sur y Centroamérica el agregado regional creció menos de 1 % y sigue por debajo de su máximo de 2014.</w:t>
      </w:r>
    </w:p>
    <w:p w14:paraId="72ADB16B" w14:textId="3BF870F5" w:rsidR="00A37447" w:rsidRDefault="00A37447">
      <w:pPr>
        <w:spacing w:before="160"/>
        <w:jc w:val="center"/>
      </w:pPr>
      <w:r>
        <w:rPr>
          <w:noProof/>
        </w:rPr>
        <w:drawing>
          <wp:inline distT="0" distB="0" distL="0" distR="0" wp14:anchorId="5612CAB3" wp14:editId="29F723D9">
            <wp:extent cx="5400000" cy="3518710"/>
            <wp:effectExtent l="0" t="0" r="0" b="0"/>
            <wp:docPr id="90032" name="Picture 9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19.png"/>
                    <pic:cNvPicPr/>
                  </pic:nvPicPr>
                  <pic:blipFill>
                    <a:blip r:embed="rId29"/>
                    <a:stretch>
                      <a:fillRect/>
                    </a:stretch>
                  </pic:blipFill>
                  <pic:spPr>
                    <a:xfrm>
                      <a:off x="0" y="0"/>
                      <a:ext cx="5400000" cy="3518710"/>
                    </a:xfrm>
                    <a:prstGeom prst="rect">
                      <a:avLst/>
                    </a:prstGeom>
                  </pic:spPr>
                </pic:pic>
              </a:graphicData>
            </a:graphic>
          </wp:inline>
        </w:drawing>
      </w:r>
    </w:p>
    <w:p w14:paraId="0C7C3C87" w14:textId="77777777" w:rsidR="00A37447" w:rsidRDefault="00A37447">
      <w:pPr>
        <w:spacing w:before="160"/>
        <w:jc w:val="center"/>
      </w:pPr>
      <w:r>
        <w:rPr>
          <w:noProof/>
        </w:rPr>
        <w:lastRenderedPageBreak/>
        <w:drawing>
          <wp:inline distT="0" distB="0" distL="0" distR="0" wp14:anchorId="0927081D" wp14:editId="396EF091">
            <wp:extent cx="4320000" cy="2928761"/>
            <wp:effectExtent l="0" t="0" r="0" b="0"/>
            <wp:docPr id="90033" name="Picture 9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20.png"/>
                    <pic:cNvPicPr/>
                  </pic:nvPicPr>
                  <pic:blipFill>
                    <a:blip r:embed="rId30"/>
                    <a:stretch>
                      <a:fillRect/>
                    </a:stretch>
                  </pic:blipFill>
                  <pic:spPr>
                    <a:xfrm>
                      <a:off x="0" y="0"/>
                      <a:ext cx="4320000" cy="2928761"/>
                    </a:xfrm>
                    <a:prstGeom prst="rect">
                      <a:avLst/>
                    </a:prstGeom>
                  </pic:spPr>
                </pic:pic>
              </a:graphicData>
            </a:graphic>
          </wp:inline>
        </w:drawing>
      </w:r>
    </w:p>
    <w:p w14:paraId="152AB4D4" w14:textId="77777777" w:rsidR="00A37447" w:rsidRDefault="00A37447">
      <w:pPr>
        <w:keepNext/>
      </w:pPr>
    </w:p>
    <w:p w14:paraId="2267DBD2" w14:textId="77777777" w:rsidR="00A37447" w:rsidRPr="00552E6B" w:rsidRDefault="00A37447">
      <w:pPr>
        <w:keepNext/>
        <w:keepLines/>
        <w:spacing w:before="120" w:after="20"/>
        <w:rPr>
          <w:lang w:val="es-PE"/>
        </w:rPr>
      </w:pPr>
      <w:r w:rsidRPr="00552E6B">
        <w:rPr>
          <w:b/>
          <w:color w:val="00838F"/>
          <w:sz w:val="20"/>
          <w:lang w:val="es-PE"/>
        </w:rPr>
        <w:t>CONSUMO FINAL DE ENERGÍA SEGÚN FUENTE</w:t>
      </w:r>
    </w:p>
    <w:p w14:paraId="0568C09D" w14:textId="77777777" w:rsidR="00A37447" w:rsidRPr="00552E6B" w:rsidRDefault="00A37447">
      <w:pPr>
        <w:keepNext/>
        <w:keepLines/>
        <w:spacing w:after="60"/>
        <w:rPr>
          <w:lang w:val="es-PE"/>
        </w:rPr>
      </w:pPr>
      <w:r w:rsidRPr="00552E6B">
        <w:rPr>
          <w:i/>
          <w:sz w:val="17"/>
          <w:lang w:val="es-PE"/>
        </w:rPr>
        <w:t>Millones de toneladas de petróleo equivalente</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3122"/>
        <w:gridCol w:w="692"/>
        <w:gridCol w:w="692"/>
        <w:gridCol w:w="692"/>
        <w:gridCol w:w="692"/>
        <w:gridCol w:w="692"/>
        <w:gridCol w:w="1016"/>
        <w:gridCol w:w="908"/>
      </w:tblGrid>
      <w:tr w:rsidR="00855697" w14:paraId="2B8A4A77" w14:textId="77777777">
        <w:trPr>
          <w:cantSplit/>
          <w:tblHeader/>
        </w:trPr>
        <w:tc>
          <w:tcPr>
            <w:tcW w:w="3122" w:type="dxa"/>
            <w:shd w:val="clear" w:color="auto" w:fill="1F3864"/>
          </w:tcPr>
          <w:p w14:paraId="1EB1F8CA" w14:textId="77777777" w:rsidR="00A37447" w:rsidRDefault="00A37447">
            <w:pPr>
              <w:keepNext/>
            </w:pPr>
            <w:r>
              <w:rPr>
                <w:b/>
                <w:color w:val="FFFFFF"/>
                <w:sz w:val="17"/>
              </w:rPr>
              <w:t>Fuente</w:t>
            </w:r>
          </w:p>
        </w:tc>
        <w:tc>
          <w:tcPr>
            <w:tcW w:w="692" w:type="dxa"/>
            <w:shd w:val="clear" w:color="auto" w:fill="1F3864"/>
            <w:noWrap/>
          </w:tcPr>
          <w:p w14:paraId="2CA2283D" w14:textId="77777777" w:rsidR="00A37447" w:rsidRDefault="00A37447">
            <w:pPr>
              <w:keepNext/>
              <w:jc w:val="right"/>
            </w:pPr>
            <w:r>
              <w:rPr>
                <w:b/>
                <w:color w:val="FFFFFF"/>
                <w:sz w:val="17"/>
              </w:rPr>
              <w:t>2021</w:t>
            </w:r>
          </w:p>
        </w:tc>
        <w:tc>
          <w:tcPr>
            <w:tcW w:w="692" w:type="dxa"/>
            <w:shd w:val="clear" w:color="auto" w:fill="1F3864"/>
            <w:noWrap/>
          </w:tcPr>
          <w:p w14:paraId="63EE713E" w14:textId="77777777" w:rsidR="00A37447" w:rsidRDefault="00A37447">
            <w:pPr>
              <w:keepNext/>
              <w:jc w:val="right"/>
            </w:pPr>
            <w:r>
              <w:rPr>
                <w:b/>
                <w:color w:val="FFFFFF"/>
                <w:sz w:val="17"/>
              </w:rPr>
              <w:t>2022</w:t>
            </w:r>
          </w:p>
        </w:tc>
        <w:tc>
          <w:tcPr>
            <w:tcW w:w="692" w:type="dxa"/>
            <w:shd w:val="clear" w:color="auto" w:fill="1F3864"/>
            <w:noWrap/>
          </w:tcPr>
          <w:p w14:paraId="4D7B437F" w14:textId="77777777" w:rsidR="00A37447" w:rsidRDefault="00A37447">
            <w:pPr>
              <w:keepNext/>
              <w:jc w:val="right"/>
            </w:pPr>
            <w:r>
              <w:rPr>
                <w:b/>
                <w:color w:val="FFFFFF"/>
                <w:sz w:val="17"/>
              </w:rPr>
              <w:t>2023</w:t>
            </w:r>
          </w:p>
        </w:tc>
        <w:tc>
          <w:tcPr>
            <w:tcW w:w="692" w:type="dxa"/>
            <w:shd w:val="clear" w:color="auto" w:fill="1F3864"/>
            <w:noWrap/>
          </w:tcPr>
          <w:p w14:paraId="0CD92F2A" w14:textId="77777777" w:rsidR="00A37447" w:rsidRDefault="00A37447">
            <w:pPr>
              <w:keepNext/>
              <w:jc w:val="right"/>
            </w:pPr>
            <w:r>
              <w:rPr>
                <w:b/>
                <w:color w:val="FFFFFF"/>
                <w:sz w:val="17"/>
              </w:rPr>
              <w:t>2024</w:t>
            </w:r>
          </w:p>
        </w:tc>
        <w:tc>
          <w:tcPr>
            <w:tcW w:w="692" w:type="dxa"/>
            <w:shd w:val="clear" w:color="auto" w:fill="1F3864"/>
            <w:noWrap/>
          </w:tcPr>
          <w:p w14:paraId="02F31170" w14:textId="77777777" w:rsidR="00A37447" w:rsidRDefault="00A37447">
            <w:pPr>
              <w:keepNext/>
              <w:jc w:val="right"/>
            </w:pPr>
            <w:r>
              <w:rPr>
                <w:b/>
                <w:color w:val="FFFFFF"/>
                <w:sz w:val="17"/>
              </w:rPr>
              <w:t>2025</w:t>
            </w:r>
          </w:p>
        </w:tc>
        <w:tc>
          <w:tcPr>
            <w:tcW w:w="1016" w:type="dxa"/>
            <w:shd w:val="clear" w:color="auto" w:fill="1F3864"/>
          </w:tcPr>
          <w:p w14:paraId="41F0AB7C" w14:textId="77777777" w:rsidR="00A37447" w:rsidRDefault="00A37447">
            <w:pPr>
              <w:keepNext/>
              <w:jc w:val="right"/>
            </w:pPr>
            <w:r>
              <w:rPr>
                <w:b/>
                <w:color w:val="FFFFFF"/>
                <w:sz w:val="17"/>
              </w:rPr>
              <w:t>Var. % 2025 vs 2024</w:t>
            </w:r>
          </w:p>
        </w:tc>
        <w:tc>
          <w:tcPr>
            <w:tcW w:w="908" w:type="dxa"/>
            <w:shd w:val="clear" w:color="auto" w:fill="1F3864"/>
          </w:tcPr>
          <w:p w14:paraId="48EF9DEC" w14:textId="77777777" w:rsidR="00A37447" w:rsidRDefault="00A37447">
            <w:pPr>
              <w:keepNext/>
              <w:jc w:val="right"/>
            </w:pPr>
            <w:r>
              <w:rPr>
                <w:b/>
                <w:color w:val="FFFFFF"/>
                <w:sz w:val="17"/>
              </w:rPr>
              <w:t>TACC 2021-2025</w:t>
            </w:r>
          </w:p>
        </w:tc>
      </w:tr>
      <w:tr w:rsidR="00855697" w14:paraId="4626520D" w14:textId="77777777">
        <w:trPr>
          <w:cantSplit/>
        </w:trPr>
        <w:tc>
          <w:tcPr>
            <w:tcW w:w="3122" w:type="dxa"/>
            <w:noWrap/>
          </w:tcPr>
          <w:p w14:paraId="73578800" w14:textId="77777777" w:rsidR="00A37447" w:rsidRDefault="00A37447">
            <w:pPr>
              <w:keepNext/>
              <w:spacing w:after="20"/>
            </w:pPr>
            <w:r>
              <w:rPr>
                <w:sz w:val="17"/>
              </w:rPr>
              <w:t>Petróleo</w:t>
            </w:r>
          </w:p>
        </w:tc>
        <w:tc>
          <w:tcPr>
            <w:tcW w:w="692" w:type="dxa"/>
            <w:noWrap/>
          </w:tcPr>
          <w:p w14:paraId="000960DD" w14:textId="77777777" w:rsidR="00A37447" w:rsidRDefault="00A37447">
            <w:pPr>
              <w:keepNext/>
              <w:spacing w:after="20"/>
              <w:jc w:val="right"/>
            </w:pPr>
            <w:r>
              <w:rPr>
                <w:sz w:val="16"/>
              </w:rPr>
              <w:t>11,4</w:t>
            </w:r>
          </w:p>
        </w:tc>
        <w:tc>
          <w:tcPr>
            <w:tcW w:w="692" w:type="dxa"/>
            <w:noWrap/>
          </w:tcPr>
          <w:p w14:paraId="02D5B151" w14:textId="77777777" w:rsidR="00A37447" w:rsidRDefault="00A37447">
            <w:pPr>
              <w:keepNext/>
              <w:spacing w:after="20"/>
              <w:jc w:val="right"/>
            </w:pPr>
            <w:r>
              <w:rPr>
                <w:sz w:val="16"/>
              </w:rPr>
              <w:t>11,9</w:t>
            </w:r>
          </w:p>
        </w:tc>
        <w:tc>
          <w:tcPr>
            <w:tcW w:w="692" w:type="dxa"/>
            <w:noWrap/>
          </w:tcPr>
          <w:p w14:paraId="5B00184A" w14:textId="77777777" w:rsidR="00A37447" w:rsidRDefault="00A37447">
            <w:pPr>
              <w:keepNext/>
              <w:spacing w:after="20"/>
              <w:jc w:val="right"/>
            </w:pPr>
            <w:r>
              <w:rPr>
                <w:sz w:val="16"/>
              </w:rPr>
              <w:t>12,3</w:t>
            </w:r>
          </w:p>
        </w:tc>
        <w:tc>
          <w:tcPr>
            <w:tcW w:w="692" w:type="dxa"/>
            <w:noWrap/>
          </w:tcPr>
          <w:p w14:paraId="2DB0A84B" w14:textId="77777777" w:rsidR="00A37447" w:rsidRDefault="00A37447">
            <w:pPr>
              <w:keepNext/>
              <w:spacing w:after="20"/>
              <w:jc w:val="right"/>
            </w:pPr>
            <w:r>
              <w:rPr>
                <w:sz w:val="16"/>
              </w:rPr>
              <w:t>12,7</w:t>
            </w:r>
          </w:p>
        </w:tc>
        <w:tc>
          <w:tcPr>
            <w:tcW w:w="692" w:type="dxa"/>
            <w:noWrap/>
          </w:tcPr>
          <w:p w14:paraId="6D350B9A" w14:textId="77777777" w:rsidR="00A37447" w:rsidRDefault="00A37447">
            <w:pPr>
              <w:keepNext/>
              <w:spacing w:after="20"/>
              <w:jc w:val="right"/>
            </w:pPr>
            <w:r>
              <w:rPr>
                <w:sz w:val="16"/>
              </w:rPr>
              <w:t>13,7</w:t>
            </w:r>
          </w:p>
        </w:tc>
        <w:tc>
          <w:tcPr>
            <w:tcW w:w="1016" w:type="dxa"/>
            <w:noWrap/>
          </w:tcPr>
          <w:p w14:paraId="270B024A" w14:textId="77777777" w:rsidR="00A37447" w:rsidRDefault="00A37447">
            <w:pPr>
              <w:keepNext/>
              <w:spacing w:after="20"/>
              <w:jc w:val="right"/>
            </w:pPr>
            <w:r>
              <w:rPr>
                <w:sz w:val="16"/>
              </w:rPr>
              <w:t>7,4 %</w:t>
            </w:r>
          </w:p>
        </w:tc>
        <w:tc>
          <w:tcPr>
            <w:tcW w:w="908" w:type="dxa"/>
            <w:noWrap/>
          </w:tcPr>
          <w:p w14:paraId="6C63A7B9" w14:textId="77777777" w:rsidR="00A37447" w:rsidRDefault="00A37447">
            <w:pPr>
              <w:keepNext/>
              <w:spacing w:after="20"/>
              <w:jc w:val="right"/>
            </w:pPr>
            <w:r>
              <w:rPr>
                <w:sz w:val="16"/>
              </w:rPr>
              <w:t>4,6 %</w:t>
            </w:r>
          </w:p>
        </w:tc>
      </w:tr>
      <w:tr w:rsidR="00855697" w14:paraId="1A1DCF11" w14:textId="77777777">
        <w:trPr>
          <w:cantSplit/>
        </w:trPr>
        <w:tc>
          <w:tcPr>
            <w:tcW w:w="3122" w:type="dxa"/>
          </w:tcPr>
          <w:p w14:paraId="4726A1A7" w14:textId="77777777" w:rsidR="00A37447" w:rsidRDefault="00A37447">
            <w:pPr>
              <w:keepNext/>
              <w:spacing w:after="20"/>
            </w:pPr>
            <w:r>
              <w:rPr>
                <w:sz w:val="17"/>
              </w:rPr>
              <w:t>Gas natural¹</w:t>
            </w:r>
          </w:p>
        </w:tc>
        <w:tc>
          <w:tcPr>
            <w:tcW w:w="692" w:type="dxa"/>
            <w:noWrap/>
          </w:tcPr>
          <w:p w14:paraId="301450D8" w14:textId="77777777" w:rsidR="00A37447" w:rsidRDefault="00A37447">
            <w:pPr>
              <w:keepNext/>
              <w:spacing w:after="20"/>
              <w:jc w:val="right"/>
            </w:pPr>
            <w:r>
              <w:rPr>
                <w:sz w:val="16"/>
              </w:rPr>
              <w:t>7,1</w:t>
            </w:r>
          </w:p>
        </w:tc>
        <w:tc>
          <w:tcPr>
            <w:tcW w:w="692" w:type="dxa"/>
            <w:noWrap/>
          </w:tcPr>
          <w:p w14:paraId="166E4BC2" w14:textId="77777777" w:rsidR="00A37447" w:rsidRDefault="00A37447">
            <w:pPr>
              <w:keepNext/>
              <w:spacing w:after="20"/>
              <w:jc w:val="right"/>
            </w:pPr>
            <w:r>
              <w:rPr>
                <w:sz w:val="16"/>
              </w:rPr>
              <w:t>8,0</w:t>
            </w:r>
          </w:p>
        </w:tc>
        <w:tc>
          <w:tcPr>
            <w:tcW w:w="692" w:type="dxa"/>
            <w:noWrap/>
          </w:tcPr>
          <w:p w14:paraId="205D0A6D" w14:textId="77777777" w:rsidR="00A37447" w:rsidRDefault="00A37447">
            <w:pPr>
              <w:keepNext/>
              <w:spacing w:after="20"/>
              <w:jc w:val="right"/>
            </w:pPr>
            <w:r>
              <w:rPr>
                <w:sz w:val="16"/>
              </w:rPr>
              <w:t>8,5</w:t>
            </w:r>
          </w:p>
        </w:tc>
        <w:tc>
          <w:tcPr>
            <w:tcW w:w="692" w:type="dxa"/>
            <w:noWrap/>
          </w:tcPr>
          <w:p w14:paraId="2C65ACE0" w14:textId="77777777" w:rsidR="00A37447" w:rsidRDefault="00A37447">
            <w:pPr>
              <w:keepNext/>
              <w:spacing w:after="20"/>
              <w:jc w:val="right"/>
            </w:pPr>
            <w:r>
              <w:rPr>
                <w:sz w:val="16"/>
              </w:rPr>
              <w:t>8,0</w:t>
            </w:r>
          </w:p>
        </w:tc>
        <w:tc>
          <w:tcPr>
            <w:tcW w:w="692" w:type="dxa"/>
            <w:noWrap/>
          </w:tcPr>
          <w:p w14:paraId="53A5C678" w14:textId="77777777" w:rsidR="00A37447" w:rsidRDefault="00A37447">
            <w:pPr>
              <w:keepNext/>
              <w:spacing w:after="20"/>
              <w:jc w:val="right"/>
            </w:pPr>
            <w:r>
              <w:rPr>
                <w:sz w:val="16"/>
              </w:rPr>
              <w:t>7,8</w:t>
            </w:r>
          </w:p>
        </w:tc>
        <w:tc>
          <w:tcPr>
            <w:tcW w:w="1016" w:type="dxa"/>
            <w:noWrap/>
          </w:tcPr>
          <w:p w14:paraId="19BBD32C" w14:textId="77777777" w:rsidR="00A37447" w:rsidRDefault="00A37447">
            <w:pPr>
              <w:keepNext/>
              <w:spacing w:after="20"/>
              <w:jc w:val="right"/>
            </w:pPr>
            <w:r>
              <w:rPr>
                <w:sz w:val="16"/>
              </w:rPr>
              <w:t>-2,8 %</w:t>
            </w:r>
          </w:p>
        </w:tc>
        <w:tc>
          <w:tcPr>
            <w:tcW w:w="908" w:type="dxa"/>
            <w:noWrap/>
          </w:tcPr>
          <w:p w14:paraId="55A0EFD6" w14:textId="77777777" w:rsidR="00A37447" w:rsidRDefault="00A37447">
            <w:pPr>
              <w:keepNext/>
              <w:spacing w:after="20"/>
              <w:jc w:val="right"/>
            </w:pPr>
            <w:r>
              <w:rPr>
                <w:sz w:val="16"/>
              </w:rPr>
              <w:t>2,4 %</w:t>
            </w:r>
          </w:p>
        </w:tc>
      </w:tr>
      <w:tr w:rsidR="00855697" w14:paraId="19053F2C" w14:textId="77777777">
        <w:trPr>
          <w:cantSplit/>
        </w:trPr>
        <w:tc>
          <w:tcPr>
            <w:tcW w:w="3122" w:type="dxa"/>
          </w:tcPr>
          <w:p w14:paraId="049D8F5A" w14:textId="77777777" w:rsidR="00A37447" w:rsidRDefault="00A37447">
            <w:pPr>
              <w:keepNext/>
              <w:spacing w:after="20"/>
            </w:pPr>
            <w:r>
              <w:rPr>
                <w:sz w:val="17"/>
              </w:rPr>
              <w:t>Energía hidroeléctrica</w:t>
            </w:r>
          </w:p>
        </w:tc>
        <w:tc>
          <w:tcPr>
            <w:tcW w:w="692" w:type="dxa"/>
            <w:noWrap/>
          </w:tcPr>
          <w:p w14:paraId="2B9130CF" w14:textId="77777777" w:rsidR="00A37447" w:rsidRDefault="00A37447">
            <w:pPr>
              <w:keepNext/>
              <w:spacing w:after="20"/>
              <w:jc w:val="right"/>
            </w:pPr>
            <w:r>
              <w:rPr>
                <w:sz w:val="16"/>
              </w:rPr>
              <w:t>2,7</w:t>
            </w:r>
          </w:p>
        </w:tc>
        <w:tc>
          <w:tcPr>
            <w:tcW w:w="692" w:type="dxa"/>
            <w:noWrap/>
          </w:tcPr>
          <w:p w14:paraId="7C0A491E" w14:textId="77777777" w:rsidR="00A37447" w:rsidRDefault="00A37447">
            <w:pPr>
              <w:keepNext/>
              <w:spacing w:after="20"/>
              <w:jc w:val="right"/>
            </w:pPr>
            <w:r>
              <w:rPr>
                <w:sz w:val="16"/>
              </w:rPr>
              <w:t>2,6</w:t>
            </w:r>
          </w:p>
        </w:tc>
        <w:tc>
          <w:tcPr>
            <w:tcW w:w="692" w:type="dxa"/>
            <w:noWrap/>
          </w:tcPr>
          <w:p w14:paraId="31A3EE86" w14:textId="77777777" w:rsidR="00A37447" w:rsidRDefault="00A37447">
            <w:pPr>
              <w:keepNext/>
              <w:spacing w:after="20"/>
              <w:jc w:val="right"/>
            </w:pPr>
            <w:r>
              <w:rPr>
                <w:sz w:val="16"/>
              </w:rPr>
              <w:t>2,5</w:t>
            </w:r>
          </w:p>
        </w:tc>
        <w:tc>
          <w:tcPr>
            <w:tcW w:w="692" w:type="dxa"/>
            <w:noWrap/>
          </w:tcPr>
          <w:p w14:paraId="7902506F" w14:textId="77777777" w:rsidR="00A37447" w:rsidRDefault="00A37447">
            <w:pPr>
              <w:keepNext/>
              <w:spacing w:after="20"/>
              <w:jc w:val="right"/>
            </w:pPr>
            <w:r>
              <w:rPr>
                <w:sz w:val="16"/>
              </w:rPr>
              <w:t>2,8</w:t>
            </w:r>
          </w:p>
        </w:tc>
        <w:tc>
          <w:tcPr>
            <w:tcW w:w="692" w:type="dxa"/>
            <w:noWrap/>
          </w:tcPr>
          <w:p w14:paraId="68D4B6A5" w14:textId="77777777" w:rsidR="00A37447" w:rsidRDefault="00A37447">
            <w:pPr>
              <w:keepNext/>
              <w:spacing w:after="20"/>
              <w:jc w:val="right"/>
            </w:pPr>
            <w:r>
              <w:rPr>
                <w:sz w:val="16"/>
              </w:rPr>
              <w:t>2,9</w:t>
            </w:r>
          </w:p>
        </w:tc>
        <w:tc>
          <w:tcPr>
            <w:tcW w:w="1016" w:type="dxa"/>
            <w:noWrap/>
          </w:tcPr>
          <w:p w14:paraId="436FCFC0" w14:textId="77777777" w:rsidR="00A37447" w:rsidRDefault="00A37447">
            <w:pPr>
              <w:keepNext/>
              <w:spacing w:after="20"/>
              <w:jc w:val="right"/>
            </w:pPr>
            <w:r>
              <w:rPr>
                <w:sz w:val="16"/>
              </w:rPr>
              <w:t>6,1 %</w:t>
            </w:r>
          </w:p>
        </w:tc>
        <w:tc>
          <w:tcPr>
            <w:tcW w:w="908" w:type="dxa"/>
            <w:noWrap/>
          </w:tcPr>
          <w:p w14:paraId="3381E399" w14:textId="77777777" w:rsidR="00A37447" w:rsidRDefault="00A37447">
            <w:pPr>
              <w:keepNext/>
              <w:spacing w:after="20"/>
              <w:jc w:val="right"/>
            </w:pPr>
            <w:r>
              <w:rPr>
                <w:sz w:val="16"/>
              </w:rPr>
              <w:t>1,6 %</w:t>
            </w:r>
          </w:p>
        </w:tc>
      </w:tr>
      <w:tr w:rsidR="00855697" w14:paraId="700CAC77" w14:textId="77777777">
        <w:trPr>
          <w:cantSplit/>
        </w:trPr>
        <w:tc>
          <w:tcPr>
            <w:tcW w:w="3122" w:type="dxa"/>
          </w:tcPr>
          <w:p w14:paraId="7955459C" w14:textId="77777777" w:rsidR="00A37447" w:rsidRDefault="00A37447">
            <w:pPr>
              <w:keepNext/>
              <w:spacing w:after="20"/>
            </w:pPr>
            <w:r>
              <w:rPr>
                <w:sz w:val="17"/>
              </w:rPr>
              <w:t>Energías renovables</w:t>
            </w:r>
          </w:p>
        </w:tc>
        <w:tc>
          <w:tcPr>
            <w:tcW w:w="692" w:type="dxa"/>
            <w:noWrap/>
          </w:tcPr>
          <w:p w14:paraId="575C6E94" w14:textId="77777777" w:rsidR="00A37447" w:rsidRDefault="00A37447">
            <w:pPr>
              <w:keepNext/>
              <w:spacing w:after="20"/>
              <w:jc w:val="right"/>
            </w:pPr>
            <w:r>
              <w:rPr>
                <w:sz w:val="16"/>
              </w:rPr>
              <w:t>0,8</w:t>
            </w:r>
          </w:p>
        </w:tc>
        <w:tc>
          <w:tcPr>
            <w:tcW w:w="692" w:type="dxa"/>
            <w:noWrap/>
          </w:tcPr>
          <w:p w14:paraId="100AF5D1" w14:textId="77777777" w:rsidR="00A37447" w:rsidRDefault="00A37447">
            <w:pPr>
              <w:keepNext/>
              <w:spacing w:after="20"/>
              <w:jc w:val="right"/>
            </w:pPr>
            <w:r>
              <w:rPr>
                <w:sz w:val="16"/>
              </w:rPr>
              <w:t>0,8</w:t>
            </w:r>
          </w:p>
        </w:tc>
        <w:tc>
          <w:tcPr>
            <w:tcW w:w="692" w:type="dxa"/>
            <w:noWrap/>
          </w:tcPr>
          <w:p w14:paraId="0F85026F" w14:textId="77777777" w:rsidR="00A37447" w:rsidRDefault="00A37447">
            <w:pPr>
              <w:keepNext/>
              <w:spacing w:after="20"/>
              <w:jc w:val="right"/>
            </w:pPr>
            <w:r>
              <w:rPr>
                <w:sz w:val="16"/>
              </w:rPr>
              <w:t>0,9</w:t>
            </w:r>
          </w:p>
        </w:tc>
        <w:tc>
          <w:tcPr>
            <w:tcW w:w="692" w:type="dxa"/>
            <w:noWrap/>
          </w:tcPr>
          <w:p w14:paraId="7CBB15F1" w14:textId="77777777" w:rsidR="00A37447" w:rsidRDefault="00A37447">
            <w:pPr>
              <w:keepNext/>
              <w:spacing w:after="20"/>
              <w:jc w:val="right"/>
            </w:pPr>
            <w:r>
              <w:rPr>
                <w:sz w:val="16"/>
              </w:rPr>
              <w:t>1,1</w:t>
            </w:r>
          </w:p>
        </w:tc>
        <w:tc>
          <w:tcPr>
            <w:tcW w:w="692" w:type="dxa"/>
            <w:noWrap/>
          </w:tcPr>
          <w:p w14:paraId="3045B28B" w14:textId="77777777" w:rsidR="00A37447" w:rsidRDefault="00A37447">
            <w:pPr>
              <w:keepNext/>
              <w:spacing w:after="20"/>
              <w:jc w:val="right"/>
            </w:pPr>
            <w:r>
              <w:rPr>
                <w:sz w:val="16"/>
              </w:rPr>
              <w:t>1,2</w:t>
            </w:r>
          </w:p>
        </w:tc>
        <w:tc>
          <w:tcPr>
            <w:tcW w:w="1016" w:type="dxa"/>
            <w:noWrap/>
          </w:tcPr>
          <w:p w14:paraId="7CDF38DD" w14:textId="77777777" w:rsidR="00A37447" w:rsidRDefault="00A37447">
            <w:pPr>
              <w:keepNext/>
              <w:spacing w:after="20"/>
              <w:jc w:val="right"/>
            </w:pPr>
            <w:r>
              <w:rPr>
                <w:sz w:val="16"/>
              </w:rPr>
              <w:t>9,3 %</w:t>
            </w:r>
          </w:p>
        </w:tc>
        <w:tc>
          <w:tcPr>
            <w:tcW w:w="908" w:type="dxa"/>
            <w:noWrap/>
          </w:tcPr>
          <w:p w14:paraId="1A95633C" w14:textId="77777777" w:rsidR="00A37447" w:rsidRDefault="00A37447">
            <w:pPr>
              <w:keepNext/>
              <w:spacing w:after="20"/>
              <w:jc w:val="right"/>
            </w:pPr>
            <w:r>
              <w:rPr>
                <w:sz w:val="16"/>
              </w:rPr>
              <w:t>10,2 %</w:t>
            </w:r>
          </w:p>
        </w:tc>
      </w:tr>
      <w:tr w:rsidR="00855697" w14:paraId="5BEC2353" w14:textId="77777777">
        <w:trPr>
          <w:cantSplit/>
        </w:trPr>
        <w:tc>
          <w:tcPr>
            <w:tcW w:w="3122" w:type="dxa"/>
            <w:noWrap/>
          </w:tcPr>
          <w:p w14:paraId="31414FDC" w14:textId="77777777" w:rsidR="00A37447" w:rsidRDefault="00A37447">
            <w:pPr>
              <w:keepNext/>
              <w:spacing w:after="20"/>
            </w:pPr>
            <w:r>
              <w:rPr>
                <w:sz w:val="17"/>
              </w:rPr>
              <w:t>Carbón</w:t>
            </w:r>
          </w:p>
        </w:tc>
        <w:tc>
          <w:tcPr>
            <w:tcW w:w="692" w:type="dxa"/>
            <w:noWrap/>
          </w:tcPr>
          <w:p w14:paraId="31A183DD" w14:textId="77777777" w:rsidR="00A37447" w:rsidRDefault="00A37447">
            <w:pPr>
              <w:keepNext/>
              <w:spacing w:after="20"/>
              <w:jc w:val="right"/>
            </w:pPr>
            <w:r>
              <w:rPr>
                <w:sz w:val="16"/>
              </w:rPr>
              <w:t>0,7</w:t>
            </w:r>
          </w:p>
        </w:tc>
        <w:tc>
          <w:tcPr>
            <w:tcW w:w="692" w:type="dxa"/>
            <w:noWrap/>
          </w:tcPr>
          <w:p w14:paraId="1C4C8011" w14:textId="77777777" w:rsidR="00A37447" w:rsidRDefault="00A37447">
            <w:pPr>
              <w:keepNext/>
              <w:spacing w:after="20"/>
              <w:jc w:val="right"/>
            </w:pPr>
            <w:r>
              <w:rPr>
                <w:sz w:val="16"/>
              </w:rPr>
              <w:t>0,7</w:t>
            </w:r>
          </w:p>
        </w:tc>
        <w:tc>
          <w:tcPr>
            <w:tcW w:w="692" w:type="dxa"/>
            <w:noWrap/>
          </w:tcPr>
          <w:p w14:paraId="3DD9CA4B" w14:textId="77777777" w:rsidR="00A37447" w:rsidRDefault="00A37447">
            <w:pPr>
              <w:keepNext/>
              <w:spacing w:after="20"/>
              <w:jc w:val="right"/>
            </w:pPr>
            <w:r>
              <w:rPr>
                <w:sz w:val="16"/>
              </w:rPr>
              <w:t>0,6</w:t>
            </w:r>
          </w:p>
        </w:tc>
        <w:tc>
          <w:tcPr>
            <w:tcW w:w="692" w:type="dxa"/>
            <w:noWrap/>
          </w:tcPr>
          <w:p w14:paraId="673268F9" w14:textId="77777777" w:rsidR="00A37447" w:rsidRDefault="00A37447">
            <w:pPr>
              <w:keepNext/>
              <w:spacing w:after="20"/>
              <w:jc w:val="right"/>
            </w:pPr>
            <w:r>
              <w:rPr>
                <w:sz w:val="16"/>
              </w:rPr>
              <w:t>0,6</w:t>
            </w:r>
          </w:p>
        </w:tc>
        <w:tc>
          <w:tcPr>
            <w:tcW w:w="692" w:type="dxa"/>
            <w:noWrap/>
          </w:tcPr>
          <w:p w14:paraId="13F20E79" w14:textId="77777777" w:rsidR="00A37447" w:rsidRDefault="00A37447">
            <w:pPr>
              <w:keepNext/>
              <w:spacing w:after="20"/>
              <w:jc w:val="right"/>
            </w:pPr>
            <w:r>
              <w:rPr>
                <w:sz w:val="16"/>
              </w:rPr>
              <w:t>0,6</w:t>
            </w:r>
          </w:p>
        </w:tc>
        <w:tc>
          <w:tcPr>
            <w:tcW w:w="1016" w:type="dxa"/>
            <w:noWrap/>
          </w:tcPr>
          <w:p w14:paraId="4821EEA8" w14:textId="77777777" w:rsidR="00A37447" w:rsidRDefault="00A37447">
            <w:pPr>
              <w:keepNext/>
              <w:spacing w:after="20"/>
              <w:jc w:val="right"/>
            </w:pPr>
            <w:r>
              <w:rPr>
                <w:sz w:val="16"/>
              </w:rPr>
              <w:t>3,9 %</w:t>
            </w:r>
          </w:p>
        </w:tc>
        <w:tc>
          <w:tcPr>
            <w:tcW w:w="908" w:type="dxa"/>
            <w:noWrap/>
          </w:tcPr>
          <w:p w14:paraId="58CD6D6F" w14:textId="77777777" w:rsidR="00A37447" w:rsidRDefault="00A37447">
            <w:pPr>
              <w:keepNext/>
              <w:spacing w:after="20"/>
              <w:jc w:val="right"/>
            </w:pPr>
            <w:r>
              <w:rPr>
                <w:sz w:val="16"/>
              </w:rPr>
              <w:t>-2,5 %</w:t>
            </w:r>
          </w:p>
        </w:tc>
      </w:tr>
      <w:tr w:rsidR="00855697" w14:paraId="58899009" w14:textId="77777777">
        <w:trPr>
          <w:cantSplit/>
        </w:trPr>
        <w:tc>
          <w:tcPr>
            <w:tcW w:w="3122" w:type="dxa"/>
            <w:noWrap/>
          </w:tcPr>
          <w:p w14:paraId="0D14057E" w14:textId="77777777" w:rsidR="00A37447" w:rsidRDefault="00A37447">
            <w:pPr>
              <w:keepNext/>
              <w:spacing w:after="20"/>
            </w:pPr>
            <w:r>
              <w:rPr>
                <w:b/>
                <w:sz w:val="17"/>
              </w:rPr>
              <w:t>Total</w:t>
            </w:r>
          </w:p>
        </w:tc>
        <w:tc>
          <w:tcPr>
            <w:tcW w:w="692" w:type="dxa"/>
            <w:noWrap/>
          </w:tcPr>
          <w:p w14:paraId="54235A2F" w14:textId="77777777" w:rsidR="00A37447" w:rsidRDefault="00A37447">
            <w:pPr>
              <w:keepNext/>
              <w:spacing w:after="20"/>
              <w:jc w:val="right"/>
            </w:pPr>
            <w:r>
              <w:rPr>
                <w:sz w:val="16"/>
              </w:rPr>
              <w:t>22,8</w:t>
            </w:r>
          </w:p>
        </w:tc>
        <w:tc>
          <w:tcPr>
            <w:tcW w:w="692" w:type="dxa"/>
            <w:noWrap/>
          </w:tcPr>
          <w:p w14:paraId="6B47ABBE" w14:textId="77777777" w:rsidR="00A37447" w:rsidRDefault="00A37447">
            <w:pPr>
              <w:keepNext/>
              <w:spacing w:after="20"/>
              <w:jc w:val="right"/>
            </w:pPr>
            <w:r>
              <w:rPr>
                <w:sz w:val="16"/>
              </w:rPr>
              <w:t>24,0</w:t>
            </w:r>
          </w:p>
        </w:tc>
        <w:tc>
          <w:tcPr>
            <w:tcW w:w="692" w:type="dxa"/>
            <w:noWrap/>
          </w:tcPr>
          <w:p w14:paraId="37947CBA" w14:textId="77777777" w:rsidR="00A37447" w:rsidRDefault="00A37447">
            <w:pPr>
              <w:keepNext/>
              <w:spacing w:after="20"/>
              <w:jc w:val="right"/>
            </w:pPr>
            <w:r>
              <w:rPr>
                <w:sz w:val="16"/>
              </w:rPr>
              <w:t>24,8</w:t>
            </w:r>
          </w:p>
        </w:tc>
        <w:tc>
          <w:tcPr>
            <w:tcW w:w="692" w:type="dxa"/>
            <w:noWrap/>
          </w:tcPr>
          <w:p w14:paraId="5681CA34" w14:textId="77777777" w:rsidR="00A37447" w:rsidRDefault="00A37447">
            <w:pPr>
              <w:keepNext/>
              <w:spacing w:after="20"/>
              <w:jc w:val="right"/>
            </w:pPr>
            <w:r>
              <w:rPr>
                <w:sz w:val="16"/>
              </w:rPr>
              <w:t>25,2</w:t>
            </w:r>
          </w:p>
        </w:tc>
        <w:tc>
          <w:tcPr>
            <w:tcW w:w="692" w:type="dxa"/>
            <w:noWrap/>
          </w:tcPr>
          <w:p w14:paraId="4C37168A" w14:textId="77777777" w:rsidR="00A37447" w:rsidRDefault="00A37447">
            <w:pPr>
              <w:keepNext/>
              <w:spacing w:after="20"/>
              <w:jc w:val="right"/>
            </w:pPr>
            <w:r>
              <w:rPr>
                <w:sz w:val="16"/>
              </w:rPr>
              <w:t>26,2</w:t>
            </w:r>
          </w:p>
        </w:tc>
        <w:tc>
          <w:tcPr>
            <w:tcW w:w="1016" w:type="dxa"/>
            <w:noWrap/>
          </w:tcPr>
          <w:p w14:paraId="78688A51" w14:textId="77777777" w:rsidR="00A37447" w:rsidRDefault="00A37447">
            <w:pPr>
              <w:keepNext/>
              <w:spacing w:after="20"/>
              <w:jc w:val="right"/>
            </w:pPr>
            <w:r>
              <w:rPr>
                <w:sz w:val="16"/>
              </w:rPr>
              <w:t>4,0 %</w:t>
            </w:r>
          </w:p>
        </w:tc>
        <w:tc>
          <w:tcPr>
            <w:tcW w:w="908" w:type="dxa"/>
            <w:noWrap/>
          </w:tcPr>
          <w:p w14:paraId="5D8F2BA0" w14:textId="77777777" w:rsidR="00A37447" w:rsidRDefault="00A37447">
            <w:pPr>
              <w:keepNext/>
              <w:spacing w:after="20"/>
              <w:jc w:val="right"/>
            </w:pPr>
            <w:r>
              <w:rPr>
                <w:sz w:val="16"/>
              </w:rPr>
              <w:t>3,6 %</w:t>
            </w:r>
          </w:p>
        </w:tc>
      </w:tr>
    </w:tbl>
    <w:p w14:paraId="30678D3A" w14:textId="77777777" w:rsidR="00A37447" w:rsidRPr="00552E6B" w:rsidRDefault="00A37447">
      <w:pPr>
        <w:keepNext/>
        <w:keepLines/>
        <w:rPr>
          <w:lang w:val="es-PE"/>
        </w:rPr>
      </w:pPr>
      <w:r w:rsidRPr="00552E6B">
        <w:rPr>
          <w:i/>
          <w:color w:val="595959"/>
          <w:sz w:val="15"/>
          <w:lang w:val="es-PE"/>
        </w:rPr>
        <w:t>¹ Estimación realizada a partir de información de empresas del sector y autoridades locales.</w:t>
      </w:r>
    </w:p>
    <w:p w14:paraId="0FA1A963" w14:textId="77777777" w:rsidR="00A37447" w:rsidRPr="00552E6B" w:rsidRDefault="00A37447">
      <w:pPr>
        <w:keepLines/>
        <w:spacing w:before="40"/>
        <w:jc w:val="right"/>
        <w:rPr>
          <w:lang w:val="es-PE"/>
        </w:rPr>
      </w:pPr>
      <w:r w:rsidRPr="00552E6B">
        <w:rPr>
          <w:b/>
          <w:color w:val="404040"/>
          <w:sz w:val="15"/>
          <w:lang w:val="es-PE"/>
        </w:rPr>
        <w:t>FUENTE: COES, empresas del sector, Energy Institute Statistical Review of World Energy 2026, Promigas, Osinergmin, APOYO Consultoría</w:t>
      </w:r>
    </w:p>
    <w:p w14:paraId="134B3600" w14:textId="07A9F071" w:rsidR="00C75A27" w:rsidRDefault="00A37447" w:rsidP="00786EA0">
      <w:pPr>
        <w:pStyle w:val="Ttulo3"/>
        <w:pageBreakBefore/>
        <w:rPr>
          <w:lang w:val="es-PE"/>
        </w:rPr>
      </w:pPr>
      <w:bookmarkStart w:id="6" w:name="_Toc207879141"/>
      <w:bookmarkStart w:id="7" w:name="_Toc213256211"/>
      <w:bookmarkStart w:id="8" w:name="_Toc235083020"/>
      <w:r w:rsidRPr="00552E6B">
        <w:rPr>
          <w:lang w:val="es-PE"/>
        </w:rPr>
        <w:lastRenderedPageBreak/>
        <w:t>3.2.2. Exploración y reservas</w:t>
      </w:r>
      <w:bookmarkEnd w:id="6"/>
      <w:bookmarkEnd w:id="7"/>
      <w:bookmarkEnd w:id="8"/>
    </w:p>
    <w:p w14:paraId="43F2F685" w14:textId="17BF9148" w:rsidR="00A37447" w:rsidRPr="00552E6B" w:rsidRDefault="00A37447">
      <w:pPr>
        <w:keepLines/>
        <w:rPr>
          <w:lang w:val="es-PE"/>
        </w:rPr>
      </w:pPr>
      <w:r w:rsidRPr="00552E6B">
        <w:rPr>
          <w:lang w:val="es-PE"/>
        </w:rPr>
        <w:t xml:space="preserve">La inversión en exploración y explotación de hidrocarburos (segmento </w:t>
      </w:r>
      <w:r w:rsidRPr="00E14548">
        <w:rPr>
          <w:i/>
          <w:iCs/>
          <w:lang w:val="es-PE"/>
        </w:rPr>
        <w:t>upstream</w:t>
      </w:r>
      <w:r w:rsidRPr="004F3DB7">
        <w:rPr>
          <w:i/>
          <w:iCs/>
          <w:lang w:val="es-PE"/>
        </w:rPr>
        <w:t>)</w:t>
      </w:r>
      <w:r w:rsidRPr="00552E6B">
        <w:rPr>
          <w:lang w:val="es-PE"/>
        </w:rPr>
        <w:t xml:space="preserve"> totalizó US$ 467 millones en 2025, lo que representó una caída de 17 % respecto al año anterior. Este resultado revierte la recuperación registrada en 2024 (US$ 564 millones) y, aunque se mantiene por encima de los niveles de los años 2020-2022, continúa muy por debajo de los máximos registrados casi 15 años atrás, cuando la inversión superaba los US$ 1.800 millones</w:t>
      </w:r>
      <w:r w:rsidR="00E14548">
        <w:rPr>
          <w:lang w:val="es-PE"/>
        </w:rPr>
        <w:t xml:space="preserve"> anuales</w:t>
      </w:r>
      <w:r w:rsidRPr="00552E6B">
        <w:rPr>
          <w:lang w:val="es-PE"/>
        </w:rPr>
        <w:t>.</w:t>
      </w:r>
    </w:p>
    <w:p w14:paraId="4763628F" w14:textId="77777777" w:rsidR="00A37447" w:rsidRPr="00552E6B" w:rsidRDefault="0036111A">
      <w:pPr>
        <w:spacing w:before="160"/>
        <w:jc w:val="center"/>
        <w:rPr>
          <w:lang w:val="es-PE"/>
        </w:rPr>
      </w:pPr>
      <w:r>
        <w:rPr>
          <w:noProof/>
        </w:rPr>
        <w:drawing>
          <wp:inline distT="0" distB="0" distL="0" distR="0" wp14:anchorId="700FAEB5" wp14:editId="24AE5343">
            <wp:extent cx="4320000" cy="2710467"/>
            <wp:effectExtent l="0" t="0" r="0" b="0"/>
            <wp:docPr id="90034" name="Picture 9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21.png"/>
                    <pic:cNvPicPr/>
                  </pic:nvPicPr>
                  <pic:blipFill>
                    <a:blip r:embed="rId31"/>
                    <a:stretch>
                      <a:fillRect/>
                    </a:stretch>
                  </pic:blipFill>
                  <pic:spPr>
                    <a:xfrm>
                      <a:off x="0" y="0"/>
                      <a:ext cx="4320000" cy="2710467"/>
                    </a:xfrm>
                    <a:prstGeom prst="rect">
                      <a:avLst/>
                    </a:prstGeom>
                  </pic:spPr>
                </pic:pic>
              </a:graphicData>
            </a:graphic>
          </wp:inline>
        </w:drawing>
      </w:r>
    </w:p>
    <w:p w14:paraId="55F2EAD5" w14:textId="77777777" w:rsidR="00A37447" w:rsidRPr="00432A7E" w:rsidRDefault="00A37447">
      <w:pPr>
        <w:rPr>
          <w:lang w:val="es-PE"/>
        </w:rPr>
      </w:pPr>
    </w:p>
    <w:p w14:paraId="6327C352" w14:textId="5D3D2A72" w:rsidR="00A37447" w:rsidRPr="00552E6B" w:rsidRDefault="00A37447">
      <w:pPr>
        <w:keepLines/>
        <w:rPr>
          <w:lang w:val="es-PE"/>
        </w:rPr>
      </w:pPr>
      <w:r w:rsidRPr="00552E6B">
        <w:rPr>
          <w:lang w:val="es-PE"/>
        </w:rPr>
        <w:t xml:space="preserve">La mayor parte de la inversión se concentró en actividades de explotación (US$ 458 millones), especialmente en los principales lotes de producción. En 2025, Pluspetrol lideró la inversión con el 35 % del total, concentrada en los lotes 88 y 56 de Camisea, seguida de Repsol (16 %, </w:t>
      </w:r>
      <w:r>
        <w:rPr>
          <w:lang w:val="es-PE"/>
        </w:rPr>
        <w:t>L</w:t>
      </w:r>
      <w:r w:rsidRPr="00552E6B">
        <w:rPr>
          <w:lang w:val="es-PE"/>
        </w:rPr>
        <w:t xml:space="preserve">ote 57, también en Camisea), Petrotal (15 %, </w:t>
      </w:r>
      <w:r>
        <w:rPr>
          <w:lang w:val="es-PE"/>
        </w:rPr>
        <w:t>L</w:t>
      </w:r>
      <w:r w:rsidRPr="00552E6B">
        <w:rPr>
          <w:lang w:val="es-PE"/>
        </w:rPr>
        <w:t xml:space="preserve">ote 95, en Loreto) y Unna (15 %, lotes III y IV, en Talara); en conjunto, estas cuatro empresas concentraron cerca del 80 % de la inversión del año. En contraste, la inversión en exploración retomó su tendencia decreciente, luego de un 2024 marcado por la actividad sísmica realizada en el </w:t>
      </w:r>
      <w:r>
        <w:rPr>
          <w:lang w:val="es-PE"/>
        </w:rPr>
        <w:t>L</w:t>
      </w:r>
      <w:r w:rsidRPr="00552E6B">
        <w:rPr>
          <w:lang w:val="es-PE"/>
        </w:rPr>
        <w:t>ote Z-62, frente a las costas de La Libertad. En 2025, la exploración alcanzó apenas US$ 10 millones de inversión, una caída de 75 % frente a los US$ 39 millones de 2024, con lo que retornó a niveles cercanos a los mínimos observados entre 2021 y 2023.</w:t>
      </w:r>
    </w:p>
    <w:p w14:paraId="29648CDD" w14:textId="77777777" w:rsidR="00A37447" w:rsidRPr="00552E6B" w:rsidRDefault="00A37447">
      <w:pPr>
        <w:rPr>
          <w:lang w:val="es-PE"/>
        </w:rPr>
      </w:pPr>
    </w:p>
    <w:p w14:paraId="4AC8E981" w14:textId="1ADCCC40" w:rsidR="00C75A27" w:rsidRDefault="00CF0B0C">
      <w:pPr>
        <w:spacing w:before="160"/>
        <w:jc w:val="center"/>
      </w:pPr>
      <w:r>
        <w:rPr>
          <w:noProof/>
        </w:rPr>
        <w:lastRenderedPageBreak/>
        <w:drawing>
          <wp:inline distT="0" distB="0" distL="0" distR="0" wp14:anchorId="65934315" wp14:editId="5D815EDC">
            <wp:extent cx="4320000" cy="2698051"/>
            <wp:effectExtent l="0" t="0" r="0" b="0"/>
            <wp:docPr id="2110891805" name="Imagen 211089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23.png"/>
                    <pic:cNvPicPr/>
                  </pic:nvPicPr>
                  <pic:blipFill>
                    <a:blip r:embed="rId32"/>
                    <a:stretch>
                      <a:fillRect/>
                    </a:stretch>
                  </pic:blipFill>
                  <pic:spPr>
                    <a:xfrm>
                      <a:off x="0" y="0"/>
                      <a:ext cx="4320000" cy="2698051"/>
                    </a:xfrm>
                    <a:prstGeom prst="rect">
                      <a:avLst/>
                    </a:prstGeom>
                  </pic:spPr>
                </pic:pic>
              </a:graphicData>
            </a:graphic>
          </wp:inline>
        </w:drawing>
      </w:r>
      <w:r w:rsidR="00D4093E">
        <w:rPr>
          <w:noProof/>
        </w:rPr>
        <w:drawing>
          <wp:inline distT="0" distB="0" distL="0" distR="0" wp14:anchorId="4EBCEE68" wp14:editId="4112E70B">
            <wp:extent cx="4320000" cy="2726122"/>
            <wp:effectExtent l="0" t="0" r="0" b="0"/>
            <wp:docPr id="2110891806" name="Imagen 2110891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22.png"/>
                    <pic:cNvPicPr/>
                  </pic:nvPicPr>
                  <pic:blipFill>
                    <a:blip r:embed="rId33"/>
                    <a:stretch>
                      <a:fillRect/>
                    </a:stretch>
                  </pic:blipFill>
                  <pic:spPr>
                    <a:xfrm>
                      <a:off x="0" y="0"/>
                      <a:ext cx="4320000" cy="2726122"/>
                    </a:xfrm>
                    <a:prstGeom prst="rect">
                      <a:avLst/>
                    </a:prstGeom>
                  </pic:spPr>
                </pic:pic>
              </a:graphicData>
            </a:graphic>
          </wp:inline>
        </w:drawing>
      </w:r>
    </w:p>
    <w:p w14:paraId="18B2E6BD" w14:textId="1EC004F4" w:rsidR="00C75A27" w:rsidRDefault="00C75A27">
      <w:pPr>
        <w:keepNext/>
        <w:spacing w:before="160"/>
        <w:jc w:val="center"/>
      </w:pPr>
    </w:p>
    <w:p w14:paraId="013F9527" w14:textId="77777777" w:rsidR="00A37447" w:rsidRPr="00552E6B" w:rsidRDefault="00A37447">
      <w:pPr>
        <w:keepNext/>
        <w:keepLines/>
        <w:spacing w:before="160" w:after="20"/>
        <w:rPr>
          <w:lang w:val="es-PE"/>
        </w:rPr>
      </w:pPr>
      <w:r w:rsidRPr="00552E6B">
        <w:rPr>
          <w:b/>
          <w:color w:val="00838F"/>
          <w:sz w:val="20"/>
          <w:lang w:val="es-PE"/>
        </w:rPr>
        <w:t xml:space="preserve">HIDROCARBUROS: INVERSIÓN EN </w:t>
      </w:r>
      <w:r w:rsidRPr="004F3DB7">
        <w:rPr>
          <w:b/>
          <w:i/>
          <w:iCs/>
          <w:color w:val="00838F"/>
          <w:sz w:val="20"/>
          <w:lang w:val="es-PE"/>
        </w:rPr>
        <w:t>UPSTREAM</w:t>
      </w:r>
      <w:r w:rsidRPr="00552E6B">
        <w:rPr>
          <w:b/>
          <w:color w:val="00838F"/>
          <w:sz w:val="20"/>
          <w:lang w:val="es-PE"/>
        </w:rPr>
        <w:t xml:space="preserve"> POR SEGMENTO</w:t>
      </w:r>
    </w:p>
    <w:p w14:paraId="7F49BC3A" w14:textId="77777777" w:rsidR="00A37447" w:rsidRDefault="00A37447">
      <w:pPr>
        <w:keepNext/>
        <w:keepLines/>
        <w:spacing w:after="60"/>
      </w:pPr>
      <w:r>
        <w:rPr>
          <w:i/>
          <w:sz w:val="17"/>
        </w:rPr>
        <w:t>US$ millones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0174C24A" w14:textId="77777777">
        <w:trPr>
          <w:cantSplit/>
          <w:tblHeader/>
        </w:trPr>
        <w:tc>
          <w:tcPr>
            <w:tcW w:w="1063" w:type="dxa"/>
            <w:shd w:val="clear" w:color="auto" w:fill="1F3864"/>
          </w:tcPr>
          <w:p w14:paraId="4AC6ECB7" w14:textId="77777777" w:rsidR="00A37447" w:rsidRDefault="00A37447">
            <w:pPr>
              <w:keepNext/>
            </w:pPr>
            <w:r>
              <w:rPr>
                <w:b/>
                <w:color w:val="FFFFFF"/>
                <w:sz w:val="17"/>
              </w:rPr>
              <w:t>Segmento</w:t>
            </w:r>
          </w:p>
        </w:tc>
        <w:tc>
          <w:tcPr>
            <w:tcW w:w="1063" w:type="dxa"/>
            <w:shd w:val="clear" w:color="auto" w:fill="1F3864"/>
            <w:noWrap/>
          </w:tcPr>
          <w:p w14:paraId="4C740039" w14:textId="77777777" w:rsidR="00A37447" w:rsidRDefault="00A37447">
            <w:pPr>
              <w:keepNext/>
              <w:jc w:val="right"/>
            </w:pPr>
            <w:r>
              <w:rPr>
                <w:b/>
                <w:color w:val="FFFFFF"/>
                <w:sz w:val="17"/>
              </w:rPr>
              <w:t>2021</w:t>
            </w:r>
          </w:p>
        </w:tc>
        <w:tc>
          <w:tcPr>
            <w:tcW w:w="1063" w:type="dxa"/>
            <w:shd w:val="clear" w:color="auto" w:fill="1F3864"/>
            <w:noWrap/>
          </w:tcPr>
          <w:p w14:paraId="19395916" w14:textId="77777777" w:rsidR="00A37447" w:rsidRDefault="00A37447">
            <w:pPr>
              <w:keepNext/>
              <w:jc w:val="right"/>
            </w:pPr>
            <w:r>
              <w:rPr>
                <w:b/>
                <w:color w:val="FFFFFF"/>
                <w:sz w:val="17"/>
              </w:rPr>
              <w:t>2022</w:t>
            </w:r>
          </w:p>
        </w:tc>
        <w:tc>
          <w:tcPr>
            <w:tcW w:w="1063" w:type="dxa"/>
            <w:shd w:val="clear" w:color="auto" w:fill="1F3864"/>
            <w:noWrap/>
          </w:tcPr>
          <w:p w14:paraId="481B5451" w14:textId="77777777" w:rsidR="00A37447" w:rsidRDefault="00A37447">
            <w:pPr>
              <w:keepNext/>
              <w:jc w:val="right"/>
            </w:pPr>
            <w:r>
              <w:rPr>
                <w:b/>
                <w:color w:val="FFFFFF"/>
                <w:sz w:val="17"/>
              </w:rPr>
              <w:t>2023</w:t>
            </w:r>
          </w:p>
        </w:tc>
        <w:tc>
          <w:tcPr>
            <w:tcW w:w="1063" w:type="dxa"/>
            <w:shd w:val="clear" w:color="auto" w:fill="1F3864"/>
            <w:noWrap/>
          </w:tcPr>
          <w:p w14:paraId="5B7E9186" w14:textId="77777777" w:rsidR="00A37447" w:rsidRDefault="00A37447">
            <w:pPr>
              <w:keepNext/>
              <w:jc w:val="right"/>
            </w:pPr>
            <w:r>
              <w:rPr>
                <w:b/>
                <w:color w:val="FFFFFF"/>
                <w:sz w:val="17"/>
              </w:rPr>
              <w:t>2024</w:t>
            </w:r>
          </w:p>
        </w:tc>
        <w:tc>
          <w:tcPr>
            <w:tcW w:w="1063" w:type="dxa"/>
            <w:shd w:val="clear" w:color="auto" w:fill="1F3864"/>
            <w:noWrap/>
          </w:tcPr>
          <w:p w14:paraId="21A1A350" w14:textId="77777777" w:rsidR="00A37447" w:rsidRDefault="00A37447">
            <w:pPr>
              <w:keepNext/>
              <w:jc w:val="right"/>
            </w:pPr>
            <w:r>
              <w:rPr>
                <w:b/>
                <w:color w:val="FFFFFF"/>
                <w:sz w:val="17"/>
              </w:rPr>
              <w:t>2025</w:t>
            </w:r>
          </w:p>
        </w:tc>
        <w:tc>
          <w:tcPr>
            <w:tcW w:w="1063" w:type="dxa"/>
            <w:shd w:val="clear" w:color="auto" w:fill="1F3864"/>
          </w:tcPr>
          <w:p w14:paraId="5103018A" w14:textId="77777777" w:rsidR="00A37447" w:rsidRDefault="00A37447">
            <w:pPr>
              <w:keepNext/>
              <w:jc w:val="right"/>
            </w:pPr>
            <w:r>
              <w:rPr>
                <w:b/>
                <w:color w:val="FFFFFF"/>
                <w:sz w:val="17"/>
              </w:rPr>
              <w:t>Var. % 2025 vs 2024</w:t>
            </w:r>
          </w:p>
        </w:tc>
        <w:tc>
          <w:tcPr>
            <w:tcW w:w="1063" w:type="dxa"/>
            <w:shd w:val="clear" w:color="auto" w:fill="1F3864"/>
          </w:tcPr>
          <w:p w14:paraId="7B5EDDED" w14:textId="77777777" w:rsidR="00A37447" w:rsidRDefault="00A37447">
            <w:pPr>
              <w:keepNext/>
              <w:jc w:val="right"/>
            </w:pPr>
            <w:r>
              <w:rPr>
                <w:b/>
                <w:color w:val="FFFFFF"/>
                <w:sz w:val="17"/>
              </w:rPr>
              <w:t>TACC 2021-2025</w:t>
            </w:r>
          </w:p>
        </w:tc>
      </w:tr>
      <w:tr w:rsidR="00855697" w14:paraId="2260792D" w14:textId="77777777">
        <w:trPr>
          <w:cantSplit/>
        </w:trPr>
        <w:tc>
          <w:tcPr>
            <w:tcW w:w="1063" w:type="dxa"/>
            <w:noWrap/>
          </w:tcPr>
          <w:p w14:paraId="774E47A7" w14:textId="77777777" w:rsidR="00A37447" w:rsidRDefault="00A37447">
            <w:pPr>
              <w:keepNext/>
              <w:spacing w:after="20"/>
            </w:pPr>
            <w:r>
              <w:rPr>
                <w:sz w:val="17"/>
              </w:rPr>
              <w:t>Exploración</w:t>
            </w:r>
          </w:p>
        </w:tc>
        <w:tc>
          <w:tcPr>
            <w:tcW w:w="1063" w:type="dxa"/>
            <w:noWrap/>
          </w:tcPr>
          <w:p w14:paraId="111FC968" w14:textId="77777777" w:rsidR="00A37447" w:rsidRDefault="00A37447">
            <w:pPr>
              <w:keepNext/>
              <w:spacing w:after="20"/>
              <w:jc w:val="right"/>
            </w:pPr>
            <w:r>
              <w:rPr>
                <w:sz w:val="16"/>
              </w:rPr>
              <w:t>3,1</w:t>
            </w:r>
          </w:p>
        </w:tc>
        <w:tc>
          <w:tcPr>
            <w:tcW w:w="1063" w:type="dxa"/>
            <w:noWrap/>
          </w:tcPr>
          <w:p w14:paraId="0B7E63D7" w14:textId="77777777" w:rsidR="00A37447" w:rsidRDefault="00A37447">
            <w:pPr>
              <w:keepNext/>
              <w:spacing w:after="20"/>
              <w:jc w:val="right"/>
            </w:pPr>
            <w:r>
              <w:rPr>
                <w:sz w:val="16"/>
              </w:rPr>
              <w:t>2,3</w:t>
            </w:r>
          </w:p>
        </w:tc>
        <w:tc>
          <w:tcPr>
            <w:tcW w:w="1063" w:type="dxa"/>
            <w:noWrap/>
          </w:tcPr>
          <w:p w14:paraId="0AC8E668" w14:textId="77777777" w:rsidR="00A37447" w:rsidRDefault="00A37447">
            <w:pPr>
              <w:keepNext/>
              <w:spacing w:after="20"/>
              <w:jc w:val="right"/>
            </w:pPr>
            <w:r>
              <w:rPr>
                <w:sz w:val="16"/>
              </w:rPr>
              <w:t>2,3</w:t>
            </w:r>
          </w:p>
        </w:tc>
        <w:tc>
          <w:tcPr>
            <w:tcW w:w="1063" w:type="dxa"/>
            <w:noWrap/>
          </w:tcPr>
          <w:p w14:paraId="583BD934" w14:textId="77777777" w:rsidR="00A37447" w:rsidRDefault="00A37447">
            <w:pPr>
              <w:keepNext/>
              <w:spacing w:after="20"/>
              <w:jc w:val="right"/>
            </w:pPr>
            <w:r>
              <w:rPr>
                <w:sz w:val="16"/>
              </w:rPr>
              <w:t>39,1</w:t>
            </w:r>
          </w:p>
        </w:tc>
        <w:tc>
          <w:tcPr>
            <w:tcW w:w="1063" w:type="dxa"/>
            <w:noWrap/>
          </w:tcPr>
          <w:p w14:paraId="0B088D4A" w14:textId="77777777" w:rsidR="00A37447" w:rsidRDefault="00A37447">
            <w:pPr>
              <w:keepNext/>
              <w:spacing w:after="20"/>
              <w:jc w:val="right"/>
            </w:pPr>
            <w:r>
              <w:rPr>
                <w:sz w:val="16"/>
              </w:rPr>
              <w:t>9,8</w:t>
            </w:r>
          </w:p>
        </w:tc>
        <w:tc>
          <w:tcPr>
            <w:tcW w:w="1063" w:type="dxa"/>
            <w:noWrap/>
          </w:tcPr>
          <w:p w14:paraId="62210ADA" w14:textId="77777777" w:rsidR="00A37447" w:rsidRDefault="00A37447">
            <w:pPr>
              <w:keepNext/>
              <w:spacing w:after="20"/>
              <w:jc w:val="right"/>
            </w:pPr>
            <w:r>
              <w:rPr>
                <w:sz w:val="16"/>
              </w:rPr>
              <w:t>-74,9 %</w:t>
            </w:r>
          </w:p>
        </w:tc>
        <w:tc>
          <w:tcPr>
            <w:tcW w:w="1063" w:type="dxa"/>
            <w:noWrap/>
          </w:tcPr>
          <w:p w14:paraId="28AA252A" w14:textId="77777777" w:rsidR="00A37447" w:rsidRDefault="00A37447">
            <w:pPr>
              <w:keepNext/>
              <w:spacing w:after="20"/>
              <w:jc w:val="right"/>
            </w:pPr>
            <w:r>
              <w:rPr>
                <w:sz w:val="16"/>
              </w:rPr>
              <w:t>32,9 %</w:t>
            </w:r>
          </w:p>
        </w:tc>
      </w:tr>
      <w:tr w:rsidR="00855697" w14:paraId="55CF2760" w14:textId="77777777">
        <w:trPr>
          <w:cantSplit/>
        </w:trPr>
        <w:tc>
          <w:tcPr>
            <w:tcW w:w="1063" w:type="dxa"/>
            <w:noWrap/>
          </w:tcPr>
          <w:p w14:paraId="6A1580AC" w14:textId="77777777" w:rsidR="00A37447" w:rsidRDefault="00A37447">
            <w:pPr>
              <w:keepNext/>
              <w:spacing w:after="20"/>
            </w:pPr>
            <w:r>
              <w:rPr>
                <w:sz w:val="17"/>
              </w:rPr>
              <w:t>Explotación</w:t>
            </w:r>
          </w:p>
        </w:tc>
        <w:tc>
          <w:tcPr>
            <w:tcW w:w="1063" w:type="dxa"/>
            <w:noWrap/>
          </w:tcPr>
          <w:p w14:paraId="55F631B5" w14:textId="77777777" w:rsidR="00A37447" w:rsidRDefault="00A37447">
            <w:pPr>
              <w:keepNext/>
              <w:spacing w:after="20"/>
              <w:jc w:val="right"/>
            </w:pPr>
            <w:r>
              <w:rPr>
                <w:sz w:val="16"/>
              </w:rPr>
              <w:t>310</w:t>
            </w:r>
          </w:p>
        </w:tc>
        <w:tc>
          <w:tcPr>
            <w:tcW w:w="1063" w:type="dxa"/>
            <w:noWrap/>
          </w:tcPr>
          <w:p w14:paraId="60DDC3D2" w14:textId="77777777" w:rsidR="00A37447" w:rsidRDefault="00A37447">
            <w:pPr>
              <w:keepNext/>
              <w:spacing w:after="20"/>
              <w:jc w:val="right"/>
            </w:pPr>
            <w:r>
              <w:rPr>
                <w:sz w:val="16"/>
              </w:rPr>
              <w:t>323</w:t>
            </w:r>
          </w:p>
        </w:tc>
        <w:tc>
          <w:tcPr>
            <w:tcW w:w="1063" w:type="dxa"/>
            <w:noWrap/>
          </w:tcPr>
          <w:p w14:paraId="36AE2BAD" w14:textId="77777777" w:rsidR="00A37447" w:rsidRDefault="00A37447">
            <w:pPr>
              <w:keepNext/>
              <w:spacing w:after="20"/>
              <w:jc w:val="right"/>
            </w:pPr>
            <w:r>
              <w:rPr>
                <w:sz w:val="16"/>
              </w:rPr>
              <w:t>322</w:t>
            </w:r>
          </w:p>
        </w:tc>
        <w:tc>
          <w:tcPr>
            <w:tcW w:w="1063" w:type="dxa"/>
            <w:noWrap/>
          </w:tcPr>
          <w:p w14:paraId="52CE6443" w14:textId="77777777" w:rsidR="00A37447" w:rsidRDefault="00A37447">
            <w:pPr>
              <w:keepNext/>
              <w:spacing w:after="20"/>
              <w:jc w:val="right"/>
            </w:pPr>
            <w:r>
              <w:rPr>
                <w:sz w:val="16"/>
              </w:rPr>
              <w:t>525</w:t>
            </w:r>
          </w:p>
        </w:tc>
        <w:tc>
          <w:tcPr>
            <w:tcW w:w="1063" w:type="dxa"/>
            <w:noWrap/>
          </w:tcPr>
          <w:p w14:paraId="52E94511" w14:textId="77777777" w:rsidR="00A37447" w:rsidRDefault="00A37447">
            <w:pPr>
              <w:keepNext/>
              <w:spacing w:after="20"/>
              <w:jc w:val="right"/>
            </w:pPr>
            <w:r>
              <w:rPr>
                <w:sz w:val="16"/>
              </w:rPr>
              <w:t>458</w:t>
            </w:r>
          </w:p>
        </w:tc>
        <w:tc>
          <w:tcPr>
            <w:tcW w:w="1063" w:type="dxa"/>
            <w:noWrap/>
          </w:tcPr>
          <w:p w14:paraId="5A0B7823" w14:textId="77777777" w:rsidR="00A37447" w:rsidRDefault="00A37447">
            <w:pPr>
              <w:keepNext/>
              <w:spacing w:after="20"/>
              <w:jc w:val="right"/>
            </w:pPr>
            <w:r>
              <w:rPr>
                <w:sz w:val="16"/>
              </w:rPr>
              <w:t>-12,9 %</w:t>
            </w:r>
          </w:p>
        </w:tc>
        <w:tc>
          <w:tcPr>
            <w:tcW w:w="1063" w:type="dxa"/>
            <w:noWrap/>
          </w:tcPr>
          <w:p w14:paraId="050CC430" w14:textId="77777777" w:rsidR="00A37447" w:rsidRDefault="00A37447">
            <w:pPr>
              <w:keepNext/>
              <w:spacing w:after="20"/>
              <w:jc w:val="right"/>
            </w:pPr>
            <w:r>
              <w:rPr>
                <w:sz w:val="16"/>
              </w:rPr>
              <w:t>10,3 %</w:t>
            </w:r>
          </w:p>
        </w:tc>
      </w:tr>
      <w:tr w:rsidR="00855697" w14:paraId="2DBC931F" w14:textId="77777777">
        <w:trPr>
          <w:cantSplit/>
        </w:trPr>
        <w:tc>
          <w:tcPr>
            <w:tcW w:w="1063" w:type="dxa"/>
            <w:noWrap/>
          </w:tcPr>
          <w:p w14:paraId="072661B9" w14:textId="77777777" w:rsidR="00A37447" w:rsidRDefault="00A37447">
            <w:pPr>
              <w:keepNext/>
              <w:spacing w:after="20"/>
            </w:pPr>
            <w:r>
              <w:rPr>
                <w:b/>
                <w:sz w:val="17"/>
              </w:rPr>
              <w:t>Total</w:t>
            </w:r>
          </w:p>
        </w:tc>
        <w:tc>
          <w:tcPr>
            <w:tcW w:w="1063" w:type="dxa"/>
            <w:noWrap/>
          </w:tcPr>
          <w:p w14:paraId="667FB37F" w14:textId="77777777" w:rsidR="00A37447" w:rsidRDefault="00A37447">
            <w:pPr>
              <w:keepNext/>
              <w:spacing w:after="20"/>
              <w:jc w:val="right"/>
            </w:pPr>
            <w:r>
              <w:rPr>
                <w:sz w:val="16"/>
              </w:rPr>
              <w:t>313</w:t>
            </w:r>
          </w:p>
        </w:tc>
        <w:tc>
          <w:tcPr>
            <w:tcW w:w="1063" w:type="dxa"/>
            <w:noWrap/>
          </w:tcPr>
          <w:p w14:paraId="4C15FF4E" w14:textId="77777777" w:rsidR="00A37447" w:rsidRDefault="00A37447">
            <w:pPr>
              <w:keepNext/>
              <w:spacing w:after="20"/>
              <w:jc w:val="right"/>
            </w:pPr>
            <w:r>
              <w:rPr>
                <w:sz w:val="16"/>
              </w:rPr>
              <w:t>326</w:t>
            </w:r>
          </w:p>
        </w:tc>
        <w:tc>
          <w:tcPr>
            <w:tcW w:w="1063" w:type="dxa"/>
            <w:noWrap/>
          </w:tcPr>
          <w:p w14:paraId="02F029F5" w14:textId="77777777" w:rsidR="00A37447" w:rsidRDefault="00A37447">
            <w:pPr>
              <w:keepNext/>
              <w:spacing w:after="20"/>
              <w:jc w:val="right"/>
            </w:pPr>
            <w:r>
              <w:rPr>
                <w:sz w:val="16"/>
              </w:rPr>
              <w:t>324</w:t>
            </w:r>
          </w:p>
        </w:tc>
        <w:tc>
          <w:tcPr>
            <w:tcW w:w="1063" w:type="dxa"/>
            <w:noWrap/>
          </w:tcPr>
          <w:p w14:paraId="52864E94" w14:textId="77777777" w:rsidR="00A37447" w:rsidRDefault="00A37447">
            <w:pPr>
              <w:keepNext/>
              <w:spacing w:after="20"/>
              <w:jc w:val="right"/>
            </w:pPr>
            <w:r>
              <w:rPr>
                <w:sz w:val="16"/>
              </w:rPr>
              <w:t>564</w:t>
            </w:r>
          </w:p>
        </w:tc>
        <w:tc>
          <w:tcPr>
            <w:tcW w:w="1063" w:type="dxa"/>
            <w:noWrap/>
          </w:tcPr>
          <w:p w14:paraId="058174EA" w14:textId="77777777" w:rsidR="00A37447" w:rsidRDefault="00A37447">
            <w:pPr>
              <w:keepNext/>
              <w:spacing w:after="20"/>
              <w:jc w:val="right"/>
            </w:pPr>
            <w:r>
              <w:rPr>
                <w:sz w:val="16"/>
              </w:rPr>
              <w:t>467</w:t>
            </w:r>
          </w:p>
        </w:tc>
        <w:tc>
          <w:tcPr>
            <w:tcW w:w="1063" w:type="dxa"/>
            <w:noWrap/>
          </w:tcPr>
          <w:p w14:paraId="526EE3C3" w14:textId="77777777" w:rsidR="00A37447" w:rsidRDefault="00A37447">
            <w:pPr>
              <w:keepNext/>
              <w:spacing w:after="20"/>
              <w:jc w:val="right"/>
            </w:pPr>
            <w:r>
              <w:rPr>
                <w:sz w:val="16"/>
              </w:rPr>
              <w:t>-17,2 %</w:t>
            </w:r>
          </w:p>
        </w:tc>
        <w:tc>
          <w:tcPr>
            <w:tcW w:w="1063" w:type="dxa"/>
            <w:noWrap/>
          </w:tcPr>
          <w:p w14:paraId="032496DF" w14:textId="77777777" w:rsidR="00A37447" w:rsidRDefault="00A37447">
            <w:pPr>
              <w:keepNext/>
              <w:spacing w:after="20"/>
              <w:jc w:val="right"/>
            </w:pPr>
            <w:r>
              <w:rPr>
                <w:sz w:val="16"/>
              </w:rPr>
              <w:t>10,6 %</w:t>
            </w:r>
          </w:p>
        </w:tc>
      </w:tr>
    </w:tbl>
    <w:p w14:paraId="3664E940" w14:textId="77777777" w:rsidR="00A37447" w:rsidRDefault="00A37447">
      <w:pPr>
        <w:keepLines/>
        <w:spacing w:before="40"/>
        <w:jc w:val="right"/>
      </w:pPr>
      <w:r>
        <w:rPr>
          <w:b/>
          <w:color w:val="404040"/>
          <w:sz w:val="15"/>
        </w:rPr>
        <w:t>FUENTE: Perupetro</w:t>
      </w:r>
    </w:p>
    <w:p w14:paraId="585516B0" w14:textId="2394805A" w:rsidR="00A37447" w:rsidRPr="00552E6B" w:rsidRDefault="00A37447">
      <w:pPr>
        <w:keepLines/>
        <w:rPr>
          <w:lang w:val="es-PE"/>
        </w:rPr>
      </w:pPr>
      <w:r w:rsidRPr="00552E6B">
        <w:rPr>
          <w:lang w:val="es-PE"/>
        </w:rPr>
        <w:t xml:space="preserve">En 2025, el número de contratos vigentes </w:t>
      </w:r>
      <w:r w:rsidR="005B7D74">
        <w:rPr>
          <w:lang w:val="es-PE"/>
        </w:rPr>
        <w:t xml:space="preserve">de hidrocarburos </w:t>
      </w:r>
      <w:r w:rsidRPr="00552E6B">
        <w:rPr>
          <w:lang w:val="es-PE"/>
        </w:rPr>
        <w:t xml:space="preserve">administrados por Perupetro se redujo de 32 a 30, tras el vencimiento de los </w:t>
      </w:r>
      <w:r>
        <w:rPr>
          <w:lang w:val="es-PE"/>
        </w:rPr>
        <w:t>l</w:t>
      </w:r>
      <w:r w:rsidRPr="00552E6B">
        <w:rPr>
          <w:lang w:val="es-PE"/>
        </w:rPr>
        <w:t xml:space="preserve">otes XV y VI, ambos de explotación ubicados en el noroeste del país. Con ello, los contratos de explotación en esa zona descendieron de 12 a 10. De los 30 contratos restantes, </w:t>
      </w:r>
      <w:r w:rsidR="005B7D74">
        <w:rPr>
          <w:lang w:val="es-PE"/>
        </w:rPr>
        <w:t xml:space="preserve">solo </w:t>
      </w:r>
      <w:r w:rsidRPr="00552E6B">
        <w:rPr>
          <w:lang w:val="es-PE"/>
        </w:rPr>
        <w:t>cinco corresponden exclusivamente a actividades de exploración. La reducción del portafolio contractual, sumada a la ausencia de nuevas iniciativas en concesiones operativas en zonas de alto potencial</w:t>
      </w:r>
      <w:r w:rsidR="005B7D74">
        <w:rPr>
          <w:lang w:val="es-PE"/>
        </w:rPr>
        <w:t xml:space="preserve"> gasífero</w:t>
      </w:r>
      <w:r w:rsidRPr="00552E6B">
        <w:rPr>
          <w:lang w:val="es-PE"/>
        </w:rPr>
        <w:t>, acentúa el panorama de escasa renovación de reservas.</w:t>
      </w:r>
    </w:p>
    <w:p w14:paraId="535440FE" w14:textId="77777777" w:rsidR="00A37447" w:rsidRPr="00552E6B" w:rsidRDefault="00A37447">
      <w:pPr>
        <w:keepNext/>
        <w:rPr>
          <w:lang w:val="es-PE"/>
        </w:rPr>
      </w:pPr>
    </w:p>
    <w:p w14:paraId="624E2F0E" w14:textId="77777777" w:rsidR="00A37447" w:rsidRPr="00552E6B" w:rsidRDefault="00A37447">
      <w:pPr>
        <w:keepNext/>
        <w:keepLines/>
        <w:spacing w:before="160" w:after="20"/>
        <w:rPr>
          <w:lang w:val="es-PE"/>
        </w:rPr>
      </w:pPr>
      <w:r w:rsidRPr="00552E6B">
        <w:rPr>
          <w:b/>
          <w:color w:val="00838F"/>
          <w:sz w:val="20"/>
          <w:lang w:val="es-PE"/>
        </w:rPr>
        <w:t>CONTRATOS VIGENTES POR TIPO Y UBICACIÓN</w:t>
      </w:r>
    </w:p>
    <w:p w14:paraId="6C7023AB" w14:textId="77777777" w:rsidR="00A37447" w:rsidRDefault="00A37447">
      <w:pPr>
        <w:keepNext/>
        <w:keepLines/>
        <w:spacing w:after="60"/>
      </w:pPr>
      <w:r>
        <w:rPr>
          <w:i/>
          <w:sz w:val="17"/>
        </w:rPr>
        <w:t>Número de contratos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2126"/>
        <w:gridCol w:w="2126"/>
        <w:gridCol w:w="2127"/>
        <w:gridCol w:w="2127"/>
      </w:tblGrid>
      <w:tr w:rsidR="00855697" w14:paraId="03638F7B" w14:textId="77777777">
        <w:trPr>
          <w:cantSplit/>
          <w:tblHeader/>
        </w:trPr>
        <w:tc>
          <w:tcPr>
            <w:tcW w:w="2126" w:type="dxa"/>
            <w:shd w:val="clear" w:color="auto" w:fill="1F3864"/>
          </w:tcPr>
          <w:p w14:paraId="2515536E" w14:textId="77777777" w:rsidR="00A37447" w:rsidRDefault="00A37447">
            <w:pPr>
              <w:keepNext/>
            </w:pPr>
            <w:r>
              <w:rPr>
                <w:b/>
                <w:color w:val="FFFFFF"/>
                <w:sz w:val="17"/>
              </w:rPr>
              <w:t>Fase y ubicación</w:t>
            </w:r>
          </w:p>
        </w:tc>
        <w:tc>
          <w:tcPr>
            <w:tcW w:w="2126" w:type="dxa"/>
            <w:shd w:val="clear" w:color="auto" w:fill="1F3864"/>
            <w:noWrap/>
          </w:tcPr>
          <w:p w14:paraId="3E2E63A0" w14:textId="77777777" w:rsidR="00A37447" w:rsidRDefault="00A37447">
            <w:pPr>
              <w:keepNext/>
              <w:jc w:val="right"/>
            </w:pPr>
            <w:r>
              <w:rPr>
                <w:b/>
                <w:color w:val="FFFFFF"/>
                <w:sz w:val="17"/>
              </w:rPr>
              <w:t>2019</w:t>
            </w:r>
          </w:p>
        </w:tc>
        <w:tc>
          <w:tcPr>
            <w:tcW w:w="2126" w:type="dxa"/>
            <w:shd w:val="clear" w:color="auto" w:fill="1F3864"/>
            <w:noWrap/>
          </w:tcPr>
          <w:p w14:paraId="14B0C19A" w14:textId="77777777" w:rsidR="00A37447" w:rsidRDefault="00A37447">
            <w:pPr>
              <w:keepNext/>
              <w:jc w:val="right"/>
            </w:pPr>
            <w:r>
              <w:rPr>
                <w:b/>
                <w:color w:val="FFFFFF"/>
                <w:sz w:val="17"/>
              </w:rPr>
              <w:t>2024</w:t>
            </w:r>
          </w:p>
        </w:tc>
        <w:tc>
          <w:tcPr>
            <w:tcW w:w="2126" w:type="dxa"/>
            <w:shd w:val="clear" w:color="auto" w:fill="1F3864"/>
            <w:noWrap/>
          </w:tcPr>
          <w:p w14:paraId="5BFFE791" w14:textId="77777777" w:rsidR="00A37447" w:rsidRDefault="00A37447">
            <w:pPr>
              <w:keepNext/>
              <w:jc w:val="right"/>
            </w:pPr>
            <w:r>
              <w:rPr>
                <w:b/>
                <w:color w:val="FFFFFF"/>
                <w:sz w:val="17"/>
              </w:rPr>
              <w:t>2025</w:t>
            </w:r>
          </w:p>
        </w:tc>
      </w:tr>
      <w:tr w:rsidR="00855697" w14:paraId="7EEE7D26" w14:textId="77777777">
        <w:trPr>
          <w:cantSplit/>
        </w:trPr>
        <w:tc>
          <w:tcPr>
            <w:tcW w:w="2126" w:type="dxa"/>
          </w:tcPr>
          <w:p w14:paraId="1D840115" w14:textId="77777777" w:rsidR="00A37447" w:rsidRDefault="00A37447">
            <w:pPr>
              <w:keepNext/>
              <w:spacing w:after="20"/>
            </w:pPr>
            <w:r>
              <w:rPr>
                <w:sz w:val="17"/>
              </w:rPr>
              <w:t>Exploración – Noroeste</w:t>
            </w:r>
          </w:p>
        </w:tc>
        <w:tc>
          <w:tcPr>
            <w:tcW w:w="2126" w:type="dxa"/>
            <w:noWrap/>
          </w:tcPr>
          <w:p w14:paraId="6C2A3A39" w14:textId="77777777" w:rsidR="00A37447" w:rsidRDefault="00A37447">
            <w:pPr>
              <w:keepNext/>
              <w:spacing w:after="20"/>
              <w:jc w:val="right"/>
            </w:pPr>
            <w:r>
              <w:rPr>
                <w:sz w:val="16"/>
              </w:rPr>
              <w:t>4</w:t>
            </w:r>
          </w:p>
        </w:tc>
        <w:tc>
          <w:tcPr>
            <w:tcW w:w="2126" w:type="dxa"/>
            <w:noWrap/>
          </w:tcPr>
          <w:p w14:paraId="2B08945E" w14:textId="77777777" w:rsidR="00A37447" w:rsidRDefault="00A37447">
            <w:pPr>
              <w:keepNext/>
              <w:spacing w:after="20"/>
              <w:jc w:val="right"/>
            </w:pPr>
            <w:r>
              <w:rPr>
                <w:sz w:val="16"/>
              </w:rPr>
              <w:t>1</w:t>
            </w:r>
          </w:p>
        </w:tc>
        <w:tc>
          <w:tcPr>
            <w:tcW w:w="2126" w:type="dxa"/>
            <w:noWrap/>
          </w:tcPr>
          <w:p w14:paraId="0330B723" w14:textId="77777777" w:rsidR="00A37447" w:rsidRDefault="00A37447">
            <w:pPr>
              <w:keepNext/>
              <w:spacing w:after="20"/>
              <w:jc w:val="right"/>
            </w:pPr>
            <w:r>
              <w:rPr>
                <w:sz w:val="16"/>
              </w:rPr>
              <w:t>1</w:t>
            </w:r>
          </w:p>
        </w:tc>
      </w:tr>
      <w:tr w:rsidR="00855697" w14:paraId="522EE0B0" w14:textId="77777777">
        <w:trPr>
          <w:cantSplit/>
        </w:trPr>
        <w:tc>
          <w:tcPr>
            <w:tcW w:w="2126" w:type="dxa"/>
          </w:tcPr>
          <w:p w14:paraId="1E4406EE" w14:textId="77777777" w:rsidR="00A37447" w:rsidRDefault="00A37447">
            <w:pPr>
              <w:keepNext/>
              <w:spacing w:after="20"/>
            </w:pPr>
            <w:r>
              <w:rPr>
                <w:sz w:val="17"/>
              </w:rPr>
              <w:t>Exploración – Selva Central</w:t>
            </w:r>
          </w:p>
        </w:tc>
        <w:tc>
          <w:tcPr>
            <w:tcW w:w="2126" w:type="dxa"/>
            <w:noWrap/>
          </w:tcPr>
          <w:p w14:paraId="32CAA710" w14:textId="77777777" w:rsidR="00A37447" w:rsidRDefault="00A37447">
            <w:pPr>
              <w:keepNext/>
              <w:spacing w:after="20"/>
              <w:jc w:val="right"/>
            </w:pPr>
            <w:r>
              <w:rPr>
                <w:sz w:val="16"/>
              </w:rPr>
              <w:t>1</w:t>
            </w:r>
          </w:p>
        </w:tc>
        <w:tc>
          <w:tcPr>
            <w:tcW w:w="2126" w:type="dxa"/>
            <w:noWrap/>
          </w:tcPr>
          <w:p w14:paraId="2377D90C" w14:textId="77777777" w:rsidR="00A37447" w:rsidRDefault="00A37447">
            <w:pPr>
              <w:keepNext/>
              <w:spacing w:after="20"/>
              <w:jc w:val="right"/>
            </w:pPr>
            <w:r>
              <w:rPr>
                <w:sz w:val="16"/>
              </w:rPr>
              <w:t>1</w:t>
            </w:r>
          </w:p>
        </w:tc>
        <w:tc>
          <w:tcPr>
            <w:tcW w:w="2126" w:type="dxa"/>
            <w:noWrap/>
          </w:tcPr>
          <w:p w14:paraId="47CE58BB" w14:textId="77777777" w:rsidR="00A37447" w:rsidRDefault="00A37447">
            <w:pPr>
              <w:keepNext/>
              <w:spacing w:after="20"/>
              <w:jc w:val="right"/>
            </w:pPr>
            <w:r>
              <w:rPr>
                <w:sz w:val="16"/>
              </w:rPr>
              <w:t>1</w:t>
            </w:r>
          </w:p>
        </w:tc>
      </w:tr>
      <w:tr w:rsidR="00855697" w14:paraId="6F4C392C" w14:textId="77777777">
        <w:trPr>
          <w:cantSplit/>
        </w:trPr>
        <w:tc>
          <w:tcPr>
            <w:tcW w:w="2126" w:type="dxa"/>
          </w:tcPr>
          <w:p w14:paraId="6B6EA936" w14:textId="77777777" w:rsidR="00A37447" w:rsidRDefault="00A37447">
            <w:pPr>
              <w:keepNext/>
              <w:spacing w:after="20"/>
            </w:pPr>
            <w:r>
              <w:rPr>
                <w:sz w:val="17"/>
              </w:rPr>
              <w:t>Exploración – Selva Norte</w:t>
            </w:r>
          </w:p>
        </w:tc>
        <w:tc>
          <w:tcPr>
            <w:tcW w:w="2126" w:type="dxa"/>
            <w:noWrap/>
          </w:tcPr>
          <w:p w14:paraId="0F5E5E54" w14:textId="77777777" w:rsidR="00A37447" w:rsidRDefault="00A37447">
            <w:pPr>
              <w:keepNext/>
              <w:spacing w:after="20"/>
              <w:jc w:val="right"/>
            </w:pPr>
            <w:r>
              <w:rPr>
                <w:sz w:val="16"/>
              </w:rPr>
              <w:t>2</w:t>
            </w:r>
          </w:p>
        </w:tc>
        <w:tc>
          <w:tcPr>
            <w:tcW w:w="2126" w:type="dxa"/>
            <w:noWrap/>
          </w:tcPr>
          <w:p w14:paraId="32556A99" w14:textId="77777777" w:rsidR="00A37447" w:rsidRDefault="00A37447">
            <w:pPr>
              <w:keepNext/>
              <w:spacing w:after="20"/>
              <w:jc w:val="right"/>
            </w:pPr>
            <w:r>
              <w:rPr>
                <w:sz w:val="16"/>
              </w:rPr>
              <w:t>0</w:t>
            </w:r>
          </w:p>
        </w:tc>
        <w:tc>
          <w:tcPr>
            <w:tcW w:w="2126" w:type="dxa"/>
            <w:noWrap/>
          </w:tcPr>
          <w:p w14:paraId="11E73E43" w14:textId="77777777" w:rsidR="00A37447" w:rsidRDefault="00A37447">
            <w:pPr>
              <w:keepNext/>
              <w:spacing w:after="20"/>
              <w:jc w:val="right"/>
            </w:pPr>
            <w:r>
              <w:rPr>
                <w:sz w:val="16"/>
              </w:rPr>
              <w:t>0</w:t>
            </w:r>
          </w:p>
        </w:tc>
      </w:tr>
      <w:tr w:rsidR="00855697" w14:paraId="69191CDA" w14:textId="77777777">
        <w:trPr>
          <w:cantSplit/>
        </w:trPr>
        <w:tc>
          <w:tcPr>
            <w:tcW w:w="2126" w:type="dxa"/>
          </w:tcPr>
          <w:p w14:paraId="5A3A4CF6" w14:textId="77777777" w:rsidR="00A37447" w:rsidRDefault="00A37447">
            <w:pPr>
              <w:keepNext/>
              <w:spacing w:after="20"/>
            </w:pPr>
            <w:r>
              <w:rPr>
                <w:sz w:val="17"/>
              </w:rPr>
              <w:t>Exploración – Selva Sur</w:t>
            </w:r>
          </w:p>
        </w:tc>
        <w:tc>
          <w:tcPr>
            <w:tcW w:w="2126" w:type="dxa"/>
            <w:noWrap/>
          </w:tcPr>
          <w:p w14:paraId="09A75C80" w14:textId="77777777" w:rsidR="00A37447" w:rsidRDefault="00A37447">
            <w:pPr>
              <w:keepNext/>
              <w:spacing w:after="20"/>
              <w:jc w:val="right"/>
            </w:pPr>
            <w:r>
              <w:rPr>
                <w:sz w:val="16"/>
              </w:rPr>
              <w:t>1</w:t>
            </w:r>
          </w:p>
        </w:tc>
        <w:tc>
          <w:tcPr>
            <w:tcW w:w="2126" w:type="dxa"/>
            <w:noWrap/>
          </w:tcPr>
          <w:p w14:paraId="749459E3" w14:textId="77777777" w:rsidR="00A37447" w:rsidRDefault="00A37447">
            <w:pPr>
              <w:keepNext/>
              <w:spacing w:after="20"/>
              <w:jc w:val="right"/>
            </w:pPr>
            <w:r>
              <w:rPr>
                <w:sz w:val="16"/>
              </w:rPr>
              <w:t>0</w:t>
            </w:r>
          </w:p>
        </w:tc>
        <w:tc>
          <w:tcPr>
            <w:tcW w:w="2126" w:type="dxa"/>
            <w:noWrap/>
          </w:tcPr>
          <w:p w14:paraId="7A494CED" w14:textId="77777777" w:rsidR="00A37447" w:rsidRDefault="00A37447">
            <w:pPr>
              <w:keepNext/>
              <w:spacing w:after="20"/>
              <w:jc w:val="right"/>
            </w:pPr>
            <w:r>
              <w:rPr>
                <w:sz w:val="16"/>
              </w:rPr>
              <w:t>0</w:t>
            </w:r>
          </w:p>
        </w:tc>
      </w:tr>
      <w:tr w:rsidR="00855697" w14:paraId="22EE39F7" w14:textId="77777777">
        <w:trPr>
          <w:cantSplit/>
        </w:trPr>
        <w:tc>
          <w:tcPr>
            <w:tcW w:w="2126" w:type="dxa"/>
          </w:tcPr>
          <w:p w14:paraId="0374C1AC" w14:textId="77777777" w:rsidR="00A37447" w:rsidRDefault="00A37447">
            <w:pPr>
              <w:keepNext/>
              <w:spacing w:after="20"/>
            </w:pPr>
            <w:r>
              <w:rPr>
                <w:sz w:val="17"/>
              </w:rPr>
              <w:t>Exploración – Zócalo</w:t>
            </w:r>
          </w:p>
        </w:tc>
        <w:tc>
          <w:tcPr>
            <w:tcW w:w="2126" w:type="dxa"/>
            <w:noWrap/>
          </w:tcPr>
          <w:p w14:paraId="31369B3B" w14:textId="77777777" w:rsidR="00A37447" w:rsidRDefault="00A37447">
            <w:pPr>
              <w:keepNext/>
              <w:spacing w:after="20"/>
              <w:jc w:val="right"/>
            </w:pPr>
            <w:r>
              <w:rPr>
                <w:sz w:val="16"/>
              </w:rPr>
              <w:t>5</w:t>
            </w:r>
          </w:p>
        </w:tc>
        <w:tc>
          <w:tcPr>
            <w:tcW w:w="2126" w:type="dxa"/>
            <w:noWrap/>
          </w:tcPr>
          <w:p w14:paraId="16EE05AC" w14:textId="77777777" w:rsidR="00A37447" w:rsidRDefault="00A37447">
            <w:pPr>
              <w:keepNext/>
              <w:spacing w:after="20"/>
              <w:jc w:val="right"/>
            </w:pPr>
            <w:r>
              <w:rPr>
                <w:sz w:val="16"/>
              </w:rPr>
              <w:t>3</w:t>
            </w:r>
          </w:p>
        </w:tc>
        <w:tc>
          <w:tcPr>
            <w:tcW w:w="2126" w:type="dxa"/>
            <w:noWrap/>
          </w:tcPr>
          <w:p w14:paraId="445C45CA" w14:textId="77777777" w:rsidR="00A37447" w:rsidRDefault="00A37447">
            <w:pPr>
              <w:keepNext/>
              <w:spacing w:after="20"/>
              <w:jc w:val="right"/>
            </w:pPr>
            <w:r>
              <w:rPr>
                <w:sz w:val="16"/>
              </w:rPr>
              <w:t>3</w:t>
            </w:r>
          </w:p>
        </w:tc>
      </w:tr>
      <w:tr w:rsidR="00855697" w14:paraId="22F46F9D" w14:textId="77777777">
        <w:trPr>
          <w:cantSplit/>
        </w:trPr>
        <w:tc>
          <w:tcPr>
            <w:tcW w:w="2126" w:type="dxa"/>
          </w:tcPr>
          <w:p w14:paraId="28327B91" w14:textId="130CD304" w:rsidR="00A37447" w:rsidRDefault="00A37447">
            <w:pPr>
              <w:keepNext/>
              <w:spacing w:after="20"/>
            </w:pPr>
            <w:r>
              <w:rPr>
                <w:b/>
                <w:sz w:val="17"/>
              </w:rPr>
              <w:t>Total exploración</w:t>
            </w:r>
          </w:p>
        </w:tc>
        <w:tc>
          <w:tcPr>
            <w:tcW w:w="2126" w:type="dxa"/>
            <w:noWrap/>
          </w:tcPr>
          <w:p w14:paraId="33BB446A" w14:textId="77777777" w:rsidR="00A37447" w:rsidRDefault="00A37447">
            <w:pPr>
              <w:keepNext/>
              <w:spacing w:after="20"/>
              <w:jc w:val="right"/>
            </w:pPr>
            <w:r>
              <w:rPr>
                <w:sz w:val="16"/>
              </w:rPr>
              <w:t>13</w:t>
            </w:r>
          </w:p>
        </w:tc>
        <w:tc>
          <w:tcPr>
            <w:tcW w:w="2126" w:type="dxa"/>
            <w:noWrap/>
          </w:tcPr>
          <w:p w14:paraId="323C6F13" w14:textId="77777777" w:rsidR="00A37447" w:rsidRDefault="00A37447">
            <w:pPr>
              <w:keepNext/>
              <w:spacing w:after="20"/>
              <w:jc w:val="right"/>
            </w:pPr>
            <w:r>
              <w:rPr>
                <w:sz w:val="16"/>
              </w:rPr>
              <w:t>5</w:t>
            </w:r>
          </w:p>
        </w:tc>
        <w:tc>
          <w:tcPr>
            <w:tcW w:w="2126" w:type="dxa"/>
            <w:noWrap/>
          </w:tcPr>
          <w:p w14:paraId="537DFA34" w14:textId="77777777" w:rsidR="00A37447" w:rsidRDefault="00A37447">
            <w:pPr>
              <w:keepNext/>
              <w:spacing w:after="20"/>
              <w:jc w:val="right"/>
            </w:pPr>
            <w:r>
              <w:rPr>
                <w:sz w:val="16"/>
              </w:rPr>
              <w:t>5</w:t>
            </w:r>
          </w:p>
        </w:tc>
      </w:tr>
      <w:tr w:rsidR="00855697" w14:paraId="11066004" w14:textId="77777777">
        <w:trPr>
          <w:cantSplit/>
        </w:trPr>
        <w:tc>
          <w:tcPr>
            <w:tcW w:w="2126" w:type="dxa"/>
          </w:tcPr>
          <w:p w14:paraId="166AA1E5" w14:textId="77777777" w:rsidR="00A37447" w:rsidRDefault="00A37447">
            <w:pPr>
              <w:keepNext/>
              <w:spacing w:after="20"/>
            </w:pPr>
            <w:r>
              <w:rPr>
                <w:sz w:val="17"/>
              </w:rPr>
              <w:t>Explotación – Noroeste</w:t>
            </w:r>
          </w:p>
        </w:tc>
        <w:tc>
          <w:tcPr>
            <w:tcW w:w="2126" w:type="dxa"/>
            <w:noWrap/>
          </w:tcPr>
          <w:p w14:paraId="13D18917" w14:textId="77777777" w:rsidR="00A37447" w:rsidRDefault="00A37447">
            <w:pPr>
              <w:keepNext/>
              <w:spacing w:after="20"/>
              <w:jc w:val="right"/>
            </w:pPr>
            <w:r>
              <w:rPr>
                <w:sz w:val="16"/>
              </w:rPr>
              <w:t>11</w:t>
            </w:r>
          </w:p>
        </w:tc>
        <w:tc>
          <w:tcPr>
            <w:tcW w:w="2126" w:type="dxa"/>
            <w:noWrap/>
          </w:tcPr>
          <w:p w14:paraId="6884E1FD" w14:textId="77777777" w:rsidR="00A37447" w:rsidRDefault="00A37447">
            <w:pPr>
              <w:keepNext/>
              <w:spacing w:after="20"/>
              <w:jc w:val="right"/>
            </w:pPr>
            <w:r>
              <w:rPr>
                <w:sz w:val="16"/>
              </w:rPr>
              <w:t>12</w:t>
            </w:r>
          </w:p>
        </w:tc>
        <w:tc>
          <w:tcPr>
            <w:tcW w:w="2126" w:type="dxa"/>
            <w:noWrap/>
          </w:tcPr>
          <w:p w14:paraId="4CDE8E50" w14:textId="77777777" w:rsidR="00A37447" w:rsidRDefault="00A37447">
            <w:pPr>
              <w:keepNext/>
              <w:spacing w:after="20"/>
              <w:jc w:val="right"/>
            </w:pPr>
            <w:r>
              <w:rPr>
                <w:sz w:val="16"/>
              </w:rPr>
              <w:t>10</w:t>
            </w:r>
          </w:p>
        </w:tc>
      </w:tr>
      <w:tr w:rsidR="00855697" w14:paraId="5F9576F3" w14:textId="77777777">
        <w:trPr>
          <w:cantSplit/>
        </w:trPr>
        <w:tc>
          <w:tcPr>
            <w:tcW w:w="2126" w:type="dxa"/>
          </w:tcPr>
          <w:p w14:paraId="3C9E41D6" w14:textId="77777777" w:rsidR="00A37447" w:rsidRDefault="00A37447">
            <w:pPr>
              <w:keepNext/>
              <w:spacing w:after="20"/>
            </w:pPr>
            <w:r>
              <w:rPr>
                <w:sz w:val="17"/>
              </w:rPr>
              <w:t>Explotación – Selva Central</w:t>
            </w:r>
          </w:p>
        </w:tc>
        <w:tc>
          <w:tcPr>
            <w:tcW w:w="2126" w:type="dxa"/>
            <w:noWrap/>
          </w:tcPr>
          <w:p w14:paraId="1E50740E" w14:textId="77777777" w:rsidR="00A37447" w:rsidRDefault="00A37447">
            <w:pPr>
              <w:keepNext/>
              <w:spacing w:after="20"/>
              <w:jc w:val="right"/>
            </w:pPr>
            <w:r>
              <w:rPr>
                <w:sz w:val="16"/>
              </w:rPr>
              <w:t>2</w:t>
            </w:r>
          </w:p>
        </w:tc>
        <w:tc>
          <w:tcPr>
            <w:tcW w:w="2126" w:type="dxa"/>
            <w:noWrap/>
          </w:tcPr>
          <w:p w14:paraId="0F80F13D" w14:textId="77777777" w:rsidR="00A37447" w:rsidRDefault="00A37447">
            <w:pPr>
              <w:keepNext/>
              <w:spacing w:after="20"/>
              <w:jc w:val="right"/>
            </w:pPr>
            <w:r>
              <w:rPr>
                <w:sz w:val="16"/>
              </w:rPr>
              <w:t>2</w:t>
            </w:r>
          </w:p>
        </w:tc>
        <w:tc>
          <w:tcPr>
            <w:tcW w:w="2126" w:type="dxa"/>
            <w:noWrap/>
          </w:tcPr>
          <w:p w14:paraId="60B374D2" w14:textId="77777777" w:rsidR="00A37447" w:rsidRDefault="00A37447">
            <w:pPr>
              <w:keepNext/>
              <w:spacing w:after="20"/>
              <w:jc w:val="right"/>
            </w:pPr>
            <w:r>
              <w:rPr>
                <w:sz w:val="16"/>
              </w:rPr>
              <w:t>2</w:t>
            </w:r>
          </w:p>
        </w:tc>
      </w:tr>
      <w:tr w:rsidR="00855697" w14:paraId="654D6D86" w14:textId="77777777">
        <w:trPr>
          <w:cantSplit/>
        </w:trPr>
        <w:tc>
          <w:tcPr>
            <w:tcW w:w="2126" w:type="dxa"/>
          </w:tcPr>
          <w:p w14:paraId="0401403E" w14:textId="77777777" w:rsidR="00A37447" w:rsidRDefault="00A37447">
            <w:pPr>
              <w:keepNext/>
              <w:spacing w:after="20"/>
            </w:pPr>
            <w:r>
              <w:rPr>
                <w:sz w:val="17"/>
              </w:rPr>
              <w:t>Explotación – Selva Norte</w:t>
            </w:r>
          </w:p>
        </w:tc>
        <w:tc>
          <w:tcPr>
            <w:tcW w:w="2126" w:type="dxa"/>
            <w:noWrap/>
          </w:tcPr>
          <w:p w14:paraId="3F0A3695" w14:textId="77777777" w:rsidR="00A37447" w:rsidRDefault="00A37447">
            <w:pPr>
              <w:keepNext/>
              <w:spacing w:after="20"/>
              <w:jc w:val="right"/>
            </w:pPr>
            <w:r>
              <w:rPr>
                <w:sz w:val="16"/>
              </w:rPr>
              <w:t>6</w:t>
            </w:r>
          </w:p>
        </w:tc>
        <w:tc>
          <w:tcPr>
            <w:tcW w:w="2126" w:type="dxa"/>
            <w:noWrap/>
          </w:tcPr>
          <w:p w14:paraId="05DCC47B" w14:textId="77777777" w:rsidR="00A37447" w:rsidRDefault="00A37447">
            <w:pPr>
              <w:keepNext/>
              <w:spacing w:after="20"/>
              <w:jc w:val="right"/>
            </w:pPr>
            <w:r>
              <w:rPr>
                <w:sz w:val="16"/>
              </w:rPr>
              <w:t>6</w:t>
            </w:r>
          </w:p>
        </w:tc>
        <w:tc>
          <w:tcPr>
            <w:tcW w:w="2126" w:type="dxa"/>
            <w:noWrap/>
          </w:tcPr>
          <w:p w14:paraId="016A47B4" w14:textId="77777777" w:rsidR="00A37447" w:rsidRDefault="00A37447">
            <w:pPr>
              <w:keepNext/>
              <w:spacing w:after="20"/>
              <w:jc w:val="right"/>
            </w:pPr>
            <w:r>
              <w:rPr>
                <w:sz w:val="16"/>
              </w:rPr>
              <w:t>6</w:t>
            </w:r>
          </w:p>
        </w:tc>
      </w:tr>
      <w:tr w:rsidR="00855697" w14:paraId="527AD376" w14:textId="77777777">
        <w:trPr>
          <w:cantSplit/>
        </w:trPr>
        <w:tc>
          <w:tcPr>
            <w:tcW w:w="2126" w:type="dxa"/>
          </w:tcPr>
          <w:p w14:paraId="666FA32B" w14:textId="77777777" w:rsidR="00A37447" w:rsidRDefault="00A37447">
            <w:pPr>
              <w:keepNext/>
              <w:spacing w:after="20"/>
            </w:pPr>
            <w:r>
              <w:rPr>
                <w:sz w:val="17"/>
              </w:rPr>
              <w:t>Explotación – Selva Sur</w:t>
            </w:r>
          </w:p>
        </w:tc>
        <w:tc>
          <w:tcPr>
            <w:tcW w:w="2126" w:type="dxa"/>
            <w:noWrap/>
          </w:tcPr>
          <w:p w14:paraId="63D386BB" w14:textId="77777777" w:rsidR="00A37447" w:rsidRDefault="00A37447">
            <w:pPr>
              <w:keepNext/>
              <w:spacing w:after="20"/>
              <w:jc w:val="right"/>
            </w:pPr>
            <w:r>
              <w:rPr>
                <w:sz w:val="16"/>
              </w:rPr>
              <w:t>4</w:t>
            </w:r>
          </w:p>
        </w:tc>
        <w:tc>
          <w:tcPr>
            <w:tcW w:w="2126" w:type="dxa"/>
            <w:noWrap/>
          </w:tcPr>
          <w:p w14:paraId="44E4932B" w14:textId="77777777" w:rsidR="00A37447" w:rsidRDefault="00A37447">
            <w:pPr>
              <w:keepNext/>
              <w:spacing w:after="20"/>
              <w:jc w:val="right"/>
            </w:pPr>
            <w:r>
              <w:rPr>
                <w:sz w:val="16"/>
              </w:rPr>
              <w:t>4</w:t>
            </w:r>
          </w:p>
        </w:tc>
        <w:tc>
          <w:tcPr>
            <w:tcW w:w="2126" w:type="dxa"/>
            <w:noWrap/>
          </w:tcPr>
          <w:p w14:paraId="0FEEAD4B" w14:textId="77777777" w:rsidR="00A37447" w:rsidRDefault="00A37447">
            <w:pPr>
              <w:keepNext/>
              <w:spacing w:after="20"/>
              <w:jc w:val="right"/>
            </w:pPr>
            <w:r>
              <w:rPr>
                <w:sz w:val="16"/>
              </w:rPr>
              <w:t>4</w:t>
            </w:r>
          </w:p>
        </w:tc>
      </w:tr>
      <w:tr w:rsidR="00855697" w14:paraId="3DD88B30" w14:textId="77777777">
        <w:trPr>
          <w:cantSplit/>
        </w:trPr>
        <w:tc>
          <w:tcPr>
            <w:tcW w:w="2126" w:type="dxa"/>
          </w:tcPr>
          <w:p w14:paraId="4D0F3F11" w14:textId="77777777" w:rsidR="00A37447" w:rsidRDefault="00A37447">
            <w:pPr>
              <w:keepNext/>
              <w:spacing w:after="20"/>
            </w:pPr>
            <w:r>
              <w:rPr>
                <w:sz w:val="17"/>
              </w:rPr>
              <w:t>Explotación – Zócalo</w:t>
            </w:r>
          </w:p>
        </w:tc>
        <w:tc>
          <w:tcPr>
            <w:tcW w:w="2126" w:type="dxa"/>
            <w:noWrap/>
          </w:tcPr>
          <w:p w14:paraId="5CF349EA" w14:textId="77777777" w:rsidR="00A37447" w:rsidRDefault="00A37447">
            <w:pPr>
              <w:keepNext/>
              <w:spacing w:after="20"/>
              <w:jc w:val="right"/>
            </w:pPr>
            <w:r>
              <w:rPr>
                <w:sz w:val="16"/>
              </w:rPr>
              <w:t>3</w:t>
            </w:r>
          </w:p>
        </w:tc>
        <w:tc>
          <w:tcPr>
            <w:tcW w:w="2126" w:type="dxa"/>
            <w:noWrap/>
          </w:tcPr>
          <w:p w14:paraId="7C676E92" w14:textId="77777777" w:rsidR="00A37447" w:rsidRDefault="00A37447">
            <w:pPr>
              <w:keepNext/>
              <w:spacing w:after="20"/>
              <w:jc w:val="right"/>
            </w:pPr>
            <w:r>
              <w:rPr>
                <w:sz w:val="16"/>
              </w:rPr>
              <w:t>3</w:t>
            </w:r>
          </w:p>
        </w:tc>
        <w:tc>
          <w:tcPr>
            <w:tcW w:w="2126" w:type="dxa"/>
            <w:noWrap/>
          </w:tcPr>
          <w:p w14:paraId="2709CBB4" w14:textId="77777777" w:rsidR="00A37447" w:rsidRDefault="00A37447">
            <w:pPr>
              <w:keepNext/>
              <w:spacing w:after="20"/>
              <w:jc w:val="right"/>
            </w:pPr>
            <w:r>
              <w:rPr>
                <w:sz w:val="16"/>
              </w:rPr>
              <w:t>3</w:t>
            </w:r>
          </w:p>
        </w:tc>
      </w:tr>
      <w:tr w:rsidR="00855697" w14:paraId="73CC186B" w14:textId="77777777">
        <w:trPr>
          <w:cantSplit/>
        </w:trPr>
        <w:tc>
          <w:tcPr>
            <w:tcW w:w="2126" w:type="dxa"/>
          </w:tcPr>
          <w:p w14:paraId="37607F43" w14:textId="6E07FD84" w:rsidR="00A37447" w:rsidRDefault="00A37447">
            <w:pPr>
              <w:keepNext/>
              <w:spacing w:after="20"/>
            </w:pPr>
            <w:r>
              <w:rPr>
                <w:b/>
                <w:sz w:val="17"/>
              </w:rPr>
              <w:t>Total explotación</w:t>
            </w:r>
          </w:p>
        </w:tc>
        <w:tc>
          <w:tcPr>
            <w:tcW w:w="2126" w:type="dxa"/>
            <w:noWrap/>
          </w:tcPr>
          <w:p w14:paraId="0BFF0A7B" w14:textId="77777777" w:rsidR="00A37447" w:rsidRDefault="00A37447">
            <w:pPr>
              <w:keepNext/>
              <w:spacing w:after="20"/>
              <w:jc w:val="right"/>
            </w:pPr>
            <w:r>
              <w:rPr>
                <w:sz w:val="16"/>
              </w:rPr>
              <w:t>26</w:t>
            </w:r>
          </w:p>
        </w:tc>
        <w:tc>
          <w:tcPr>
            <w:tcW w:w="2126" w:type="dxa"/>
            <w:noWrap/>
          </w:tcPr>
          <w:p w14:paraId="5241BBB1" w14:textId="77777777" w:rsidR="00A37447" w:rsidRDefault="00A37447">
            <w:pPr>
              <w:keepNext/>
              <w:spacing w:after="20"/>
              <w:jc w:val="right"/>
            </w:pPr>
            <w:r>
              <w:rPr>
                <w:sz w:val="16"/>
              </w:rPr>
              <w:t>27</w:t>
            </w:r>
          </w:p>
        </w:tc>
        <w:tc>
          <w:tcPr>
            <w:tcW w:w="2126" w:type="dxa"/>
            <w:noWrap/>
          </w:tcPr>
          <w:p w14:paraId="3ECA592E" w14:textId="77777777" w:rsidR="00A37447" w:rsidRDefault="00A37447">
            <w:pPr>
              <w:keepNext/>
              <w:spacing w:after="20"/>
              <w:jc w:val="right"/>
            </w:pPr>
            <w:r>
              <w:rPr>
                <w:sz w:val="16"/>
              </w:rPr>
              <w:t>25</w:t>
            </w:r>
          </w:p>
        </w:tc>
      </w:tr>
      <w:tr w:rsidR="00855697" w14:paraId="7C3084E1" w14:textId="77777777">
        <w:trPr>
          <w:cantSplit/>
        </w:trPr>
        <w:tc>
          <w:tcPr>
            <w:tcW w:w="2126" w:type="dxa"/>
          </w:tcPr>
          <w:p w14:paraId="224A9137" w14:textId="77777777" w:rsidR="00A37447" w:rsidRDefault="00A37447">
            <w:pPr>
              <w:keepNext/>
              <w:spacing w:after="20"/>
            </w:pPr>
            <w:r>
              <w:rPr>
                <w:b/>
                <w:sz w:val="17"/>
              </w:rPr>
              <w:t>Total</w:t>
            </w:r>
          </w:p>
        </w:tc>
        <w:tc>
          <w:tcPr>
            <w:tcW w:w="2126" w:type="dxa"/>
            <w:noWrap/>
          </w:tcPr>
          <w:p w14:paraId="21B1B96F" w14:textId="77777777" w:rsidR="00A37447" w:rsidRDefault="00A37447">
            <w:pPr>
              <w:keepNext/>
              <w:spacing w:after="20"/>
              <w:jc w:val="right"/>
            </w:pPr>
            <w:r>
              <w:rPr>
                <w:sz w:val="16"/>
              </w:rPr>
              <w:t>39</w:t>
            </w:r>
          </w:p>
        </w:tc>
        <w:tc>
          <w:tcPr>
            <w:tcW w:w="2126" w:type="dxa"/>
            <w:noWrap/>
          </w:tcPr>
          <w:p w14:paraId="3A23919E" w14:textId="77777777" w:rsidR="00A37447" w:rsidRDefault="00A37447">
            <w:pPr>
              <w:keepNext/>
              <w:spacing w:after="20"/>
              <w:jc w:val="right"/>
            </w:pPr>
            <w:r>
              <w:rPr>
                <w:sz w:val="16"/>
              </w:rPr>
              <w:t>32</w:t>
            </w:r>
          </w:p>
        </w:tc>
        <w:tc>
          <w:tcPr>
            <w:tcW w:w="2126" w:type="dxa"/>
            <w:noWrap/>
          </w:tcPr>
          <w:p w14:paraId="01964061" w14:textId="77777777" w:rsidR="00A37447" w:rsidRDefault="00A37447">
            <w:pPr>
              <w:keepNext/>
              <w:spacing w:after="20"/>
              <w:jc w:val="right"/>
            </w:pPr>
            <w:r>
              <w:rPr>
                <w:sz w:val="16"/>
              </w:rPr>
              <w:t>30</w:t>
            </w:r>
          </w:p>
        </w:tc>
      </w:tr>
    </w:tbl>
    <w:p w14:paraId="77D1B17C" w14:textId="77777777" w:rsidR="00A37447" w:rsidRDefault="00A37447">
      <w:pPr>
        <w:keepLines/>
        <w:spacing w:before="40"/>
        <w:jc w:val="right"/>
      </w:pPr>
      <w:r>
        <w:rPr>
          <w:b/>
          <w:color w:val="404040"/>
          <w:sz w:val="15"/>
        </w:rPr>
        <w:t>FUENTE: Perupetro</w:t>
      </w:r>
    </w:p>
    <w:p w14:paraId="530DF88E" w14:textId="3ABDB141" w:rsidR="00A37447" w:rsidRPr="00552E6B" w:rsidRDefault="00A37447" w:rsidP="0036111A">
      <w:pPr>
        <w:keepLines/>
        <w:rPr>
          <w:lang w:val="es-PE"/>
        </w:rPr>
      </w:pPr>
      <w:r w:rsidRPr="00552E6B">
        <w:rPr>
          <w:lang w:val="es-PE"/>
        </w:rPr>
        <w:t>En 2025 no se perforó ningún pozo exploratorio ni confirmatorio en el país, en contraste con 2024, cuando se perforaron dos pozos de cada tipo. Los 69 pozos perforados durante el año fueron exclusivamente de desarrollo, concentrados en el noroeste del país (68 de los 69). En los yacimientos de Camisea (lotes 56, 57 y 88), la última perforación exploratoria data de 2017, lo que acumula ya ocho años sin nuevas apuestas en la principal fuente de gas del país.</w:t>
      </w:r>
      <w:r w:rsidR="0036111A">
        <w:rPr>
          <w:lang w:val="es-PE"/>
        </w:rPr>
        <w:tab/>
      </w:r>
    </w:p>
    <w:p w14:paraId="5A05518D" w14:textId="77777777" w:rsidR="00A37447" w:rsidRPr="00552E6B" w:rsidRDefault="00A37447">
      <w:pPr>
        <w:keepNext/>
        <w:keepLines/>
        <w:spacing w:before="160" w:after="20"/>
        <w:rPr>
          <w:lang w:val="es-PE"/>
        </w:rPr>
      </w:pPr>
      <w:r w:rsidRPr="00552E6B">
        <w:rPr>
          <w:b/>
          <w:color w:val="00838F"/>
          <w:sz w:val="20"/>
          <w:lang w:val="es-PE"/>
        </w:rPr>
        <w:t>POZOS PERFORADOS POR TIPO</w:t>
      </w:r>
    </w:p>
    <w:p w14:paraId="191672A1" w14:textId="77777777" w:rsidR="00A37447" w:rsidRPr="00552E6B" w:rsidRDefault="00A37447">
      <w:pPr>
        <w:keepNext/>
        <w:keepLines/>
        <w:spacing w:after="60"/>
        <w:rPr>
          <w:lang w:val="es-PE"/>
        </w:rPr>
      </w:pPr>
      <w:r w:rsidRPr="00552E6B">
        <w:rPr>
          <w:i/>
          <w:sz w:val="17"/>
          <w:lang w:val="es-PE"/>
        </w:rPr>
        <w:t>Cantidad de pozos perforados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109B2365" w14:textId="77777777">
        <w:trPr>
          <w:cantSplit/>
          <w:tblHeader/>
        </w:trPr>
        <w:tc>
          <w:tcPr>
            <w:tcW w:w="1063" w:type="dxa"/>
            <w:shd w:val="clear" w:color="auto" w:fill="1F3864"/>
            <w:noWrap/>
          </w:tcPr>
          <w:p w14:paraId="0D384D41" w14:textId="77777777" w:rsidR="00A37447" w:rsidRDefault="00A37447">
            <w:pPr>
              <w:keepNext/>
            </w:pPr>
            <w:r>
              <w:rPr>
                <w:b/>
                <w:color w:val="FFFFFF"/>
                <w:sz w:val="17"/>
              </w:rPr>
              <w:t>Tipo</w:t>
            </w:r>
          </w:p>
        </w:tc>
        <w:tc>
          <w:tcPr>
            <w:tcW w:w="1063" w:type="dxa"/>
            <w:shd w:val="clear" w:color="auto" w:fill="1F3864"/>
            <w:noWrap/>
          </w:tcPr>
          <w:p w14:paraId="43F86405" w14:textId="77777777" w:rsidR="00A37447" w:rsidRDefault="00A37447">
            <w:pPr>
              <w:keepNext/>
              <w:jc w:val="right"/>
            </w:pPr>
            <w:r>
              <w:rPr>
                <w:b/>
                <w:color w:val="FFFFFF"/>
                <w:sz w:val="17"/>
              </w:rPr>
              <w:t>2021</w:t>
            </w:r>
          </w:p>
        </w:tc>
        <w:tc>
          <w:tcPr>
            <w:tcW w:w="1063" w:type="dxa"/>
            <w:shd w:val="clear" w:color="auto" w:fill="1F3864"/>
            <w:noWrap/>
          </w:tcPr>
          <w:p w14:paraId="2B21F081" w14:textId="77777777" w:rsidR="00A37447" w:rsidRDefault="00A37447">
            <w:pPr>
              <w:keepNext/>
              <w:jc w:val="right"/>
            </w:pPr>
            <w:r>
              <w:rPr>
                <w:b/>
                <w:color w:val="FFFFFF"/>
                <w:sz w:val="17"/>
              </w:rPr>
              <w:t>2022</w:t>
            </w:r>
          </w:p>
        </w:tc>
        <w:tc>
          <w:tcPr>
            <w:tcW w:w="1063" w:type="dxa"/>
            <w:shd w:val="clear" w:color="auto" w:fill="1F3864"/>
            <w:noWrap/>
          </w:tcPr>
          <w:p w14:paraId="501452CA" w14:textId="77777777" w:rsidR="00A37447" w:rsidRDefault="00A37447">
            <w:pPr>
              <w:keepNext/>
              <w:jc w:val="right"/>
            </w:pPr>
            <w:r>
              <w:rPr>
                <w:b/>
                <w:color w:val="FFFFFF"/>
                <w:sz w:val="17"/>
              </w:rPr>
              <w:t>2023</w:t>
            </w:r>
          </w:p>
        </w:tc>
        <w:tc>
          <w:tcPr>
            <w:tcW w:w="1063" w:type="dxa"/>
            <w:shd w:val="clear" w:color="auto" w:fill="1F3864"/>
            <w:noWrap/>
          </w:tcPr>
          <w:p w14:paraId="36B8E5A0" w14:textId="77777777" w:rsidR="00A37447" w:rsidRDefault="00A37447">
            <w:pPr>
              <w:keepNext/>
              <w:jc w:val="right"/>
            </w:pPr>
            <w:r>
              <w:rPr>
                <w:b/>
                <w:color w:val="FFFFFF"/>
                <w:sz w:val="17"/>
              </w:rPr>
              <w:t>2024</w:t>
            </w:r>
          </w:p>
        </w:tc>
        <w:tc>
          <w:tcPr>
            <w:tcW w:w="1063" w:type="dxa"/>
            <w:shd w:val="clear" w:color="auto" w:fill="1F3864"/>
            <w:noWrap/>
          </w:tcPr>
          <w:p w14:paraId="6E4E0796" w14:textId="77777777" w:rsidR="00A37447" w:rsidRDefault="00A37447">
            <w:pPr>
              <w:keepNext/>
              <w:jc w:val="right"/>
            </w:pPr>
            <w:r>
              <w:rPr>
                <w:b/>
                <w:color w:val="FFFFFF"/>
                <w:sz w:val="17"/>
              </w:rPr>
              <w:t>2025</w:t>
            </w:r>
          </w:p>
        </w:tc>
        <w:tc>
          <w:tcPr>
            <w:tcW w:w="1063" w:type="dxa"/>
            <w:shd w:val="clear" w:color="auto" w:fill="1F3864"/>
          </w:tcPr>
          <w:p w14:paraId="4285E4E0" w14:textId="77777777" w:rsidR="00A37447" w:rsidRDefault="00A37447">
            <w:pPr>
              <w:keepNext/>
              <w:jc w:val="right"/>
            </w:pPr>
            <w:r>
              <w:rPr>
                <w:b/>
                <w:color w:val="FFFFFF"/>
                <w:sz w:val="17"/>
              </w:rPr>
              <w:t>Var. % 2025 vs 2024</w:t>
            </w:r>
          </w:p>
        </w:tc>
        <w:tc>
          <w:tcPr>
            <w:tcW w:w="1063" w:type="dxa"/>
            <w:shd w:val="clear" w:color="auto" w:fill="1F3864"/>
          </w:tcPr>
          <w:p w14:paraId="25AA480F" w14:textId="77777777" w:rsidR="00A37447" w:rsidRDefault="00A37447">
            <w:pPr>
              <w:keepNext/>
              <w:jc w:val="right"/>
            </w:pPr>
            <w:r>
              <w:rPr>
                <w:b/>
                <w:color w:val="FFFFFF"/>
                <w:sz w:val="17"/>
              </w:rPr>
              <w:t>TACC 2021-2025</w:t>
            </w:r>
          </w:p>
        </w:tc>
      </w:tr>
      <w:tr w:rsidR="00855697" w14:paraId="54CE53FD" w14:textId="77777777">
        <w:trPr>
          <w:cantSplit/>
        </w:trPr>
        <w:tc>
          <w:tcPr>
            <w:tcW w:w="1063" w:type="dxa"/>
            <w:noWrap/>
          </w:tcPr>
          <w:p w14:paraId="2AA99928" w14:textId="77777777" w:rsidR="00A37447" w:rsidRDefault="00A37447">
            <w:pPr>
              <w:keepNext/>
              <w:spacing w:after="20"/>
            </w:pPr>
            <w:r>
              <w:rPr>
                <w:sz w:val="17"/>
              </w:rPr>
              <w:t>Desarrollo</w:t>
            </w:r>
          </w:p>
        </w:tc>
        <w:tc>
          <w:tcPr>
            <w:tcW w:w="1063" w:type="dxa"/>
            <w:noWrap/>
          </w:tcPr>
          <w:p w14:paraId="4765679A" w14:textId="77777777" w:rsidR="00A37447" w:rsidRDefault="00A37447">
            <w:pPr>
              <w:keepNext/>
              <w:spacing w:after="20"/>
              <w:jc w:val="right"/>
            </w:pPr>
            <w:r>
              <w:rPr>
                <w:sz w:val="16"/>
              </w:rPr>
              <w:t>109</w:t>
            </w:r>
          </w:p>
        </w:tc>
        <w:tc>
          <w:tcPr>
            <w:tcW w:w="1063" w:type="dxa"/>
            <w:noWrap/>
          </w:tcPr>
          <w:p w14:paraId="18445125" w14:textId="77777777" w:rsidR="00A37447" w:rsidRDefault="00A37447">
            <w:pPr>
              <w:keepNext/>
              <w:spacing w:after="20"/>
              <w:jc w:val="right"/>
            </w:pPr>
            <w:r>
              <w:rPr>
                <w:sz w:val="16"/>
              </w:rPr>
              <w:t>91</w:t>
            </w:r>
          </w:p>
        </w:tc>
        <w:tc>
          <w:tcPr>
            <w:tcW w:w="1063" w:type="dxa"/>
            <w:noWrap/>
          </w:tcPr>
          <w:p w14:paraId="0FE9B5E3" w14:textId="77777777" w:rsidR="00A37447" w:rsidRDefault="00A37447">
            <w:pPr>
              <w:keepNext/>
              <w:spacing w:after="20"/>
              <w:jc w:val="right"/>
            </w:pPr>
            <w:r>
              <w:rPr>
                <w:sz w:val="16"/>
              </w:rPr>
              <w:t>41</w:t>
            </w:r>
          </w:p>
        </w:tc>
        <w:tc>
          <w:tcPr>
            <w:tcW w:w="1063" w:type="dxa"/>
            <w:noWrap/>
          </w:tcPr>
          <w:p w14:paraId="13F376D8" w14:textId="77777777" w:rsidR="00A37447" w:rsidRDefault="00A37447">
            <w:pPr>
              <w:keepNext/>
              <w:spacing w:after="20"/>
              <w:jc w:val="right"/>
            </w:pPr>
            <w:r>
              <w:rPr>
                <w:sz w:val="16"/>
              </w:rPr>
              <w:t>58</w:t>
            </w:r>
          </w:p>
        </w:tc>
        <w:tc>
          <w:tcPr>
            <w:tcW w:w="1063" w:type="dxa"/>
            <w:noWrap/>
          </w:tcPr>
          <w:p w14:paraId="7E230AD7" w14:textId="77777777" w:rsidR="00A37447" w:rsidRDefault="00A37447">
            <w:pPr>
              <w:keepNext/>
              <w:spacing w:after="20"/>
              <w:jc w:val="right"/>
            </w:pPr>
            <w:r>
              <w:rPr>
                <w:sz w:val="16"/>
              </w:rPr>
              <w:t>69</w:t>
            </w:r>
          </w:p>
        </w:tc>
        <w:tc>
          <w:tcPr>
            <w:tcW w:w="1063" w:type="dxa"/>
            <w:noWrap/>
          </w:tcPr>
          <w:p w14:paraId="2163DA29" w14:textId="77777777" w:rsidR="00A37447" w:rsidRDefault="00A37447">
            <w:pPr>
              <w:keepNext/>
              <w:spacing w:after="20"/>
              <w:jc w:val="right"/>
            </w:pPr>
            <w:r>
              <w:rPr>
                <w:sz w:val="16"/>
              </w:rPr>
              <w:t>19,0 %</w:t>
            </w:r>
          </w:p>
        </w:tc>
        <w:tc>
          <w:tcPr>
            <w:tcW w:w="1063" w:type="dxa"/>
            <w:noWrap/>
          </w:tcPr>
          <w:p w14:paraId="0EB51AB5" w14:textId="77777777" w:rsidR="00A37447" w:rsidRDefault="00A37447">
            <w:pPr>
              <w:keepNext/>
              <w:spacing w:after="20"/>
              <w:jc w:val="right"/>
            </w:pPr>
            <w:r>
              <w:rPr>
                <w:sz w:val="16"/>
              </w:rPr>
              <w:t>-10,8 %</w:t>
            </w:r>
          </w:p>
        </w:tc>
      </w:tr>
      <w:tr w:rsidR="00855697" w14:paraId="297A732A" w14:textId="77777777">
        <w:trPr>
          <w:cantSplit/>
        </w:trPr>
        <w:tc>
          <w:tcPr>
            <w:tcW w:w="1063" w:type="dxa"/>
            <w:noWrap/>
          </w:tcPr>
          <w:p w14:paraId="0A7900A2" w14:textId="77777777" w:rsidR="00A37447" w:rsidRDefault="00A37447">
            <w:pPr>
              <w:keepNext/>
              <w:spacing w:after="20"/>
            </w:pPr>
            <w:r>
              <w:rPr>
                <w:sz w:val="17"/>
              </w:rPr>
              <w:t>Confirmatorio</w:t>
            </w:r>
          </w:p>
        </w:tc>
        <w:tc>
          <w:tcPr>
            <w:tcW w:w="1063" w:type="dxa"/>
            <w:noWrap/>
          </w:tcPr>
          <w:p w14:paraId="5F19F3A8" w14:textId="77777777" w:rsidR="00A37447" w:rsidRDefault="00A37447">
            <w:pPr>
              <w:keepNext/>
              <w:spacing w:after="20"/>
              <w:jc w:val="right"/>
            </w:pPr>
            <w:r>
              <w:rPr>
                <w:sz w:val="16"/>
              </w:rPr>
              <w:t>0</w:t>
            </w:r>
          </w:p>
        </w:tc>
        <w:tc>
          <w:tcPr>
            <w:tcW w:w="1063" w:type="dxa"/>
            <w:noWrap/>
          </w:tcPr>
          <w:p w14:paraId="01A565B4" w14:textId="77777777" w:rsidR="00A37447" w:rsidRDefault="00A37447">
            <w:pPr>
              <w:keepNext/>
              <w:spacing w:after="20"/>
              <w:jc w:val="right"/>
            </w:pPr>
            <w:r>
              <w:rPr>
                <w:sz w:val="16"/>
              </w:rPr>
              <w:t>0</w:t>
            </w:r>
          </w:p>
        </w:tc>
        <w:tc>
          <w:tcPr>
            <w:tcW w:w="1063" w:type="dxa"/>
            <w:noWrap/>
          </w:tcPr>
          <w:p w14:paraId="413B4C8F" w14:textId="77777777" w:rsidR="00A37447" w:rsidRDefault="00A37447">
            <w:pPr>
              <w:keepNext/>
              <w:spacing w:after="20"/>
              <w:jc w:val="right"/>
            </w:pPr>
            <w:r>
              <w:rPr>
                <w:sz w:val="16"/>
              </w:rPr>
              <w:t>0</w:t>
            </w:r>
          </w:p>
        </w:tc>
        <w:tc>
          <w:tcPr>
            <w:tcW w:w="1063" w:type="dxa"/>
            <w:noWrap/>
          </w:tcPr>
          <w:p w14:paraId="1AF4DD33" w14:textId="77777777" w:rsidR="00A37447" w:rsidRDefault="00A37447">
            <w:pPr>
              <w:keepNext/>
              <w:spacing w:after="20"/>
              <w:jc w:val="right"/>
            </w:pPr>
            <w:r>
              <w:rPr>
                <w:sz w:val="16"/>
              </w:rPr>
              <w:t>2</w:t>
            </w:r>
          </w:p>
        </w:tc>
        <w:tc>
          <w:tcPr>
            <w:tcW w:w="1063" w:type="dxa"/>
            <w:noWrap/>
          </w:tcPr>
          <w:p w14:paraId="3ED6A4E6" w14:textId="77777777" w:rsidR="00A37447" w:rsidRDefault="00A37447">
            <w:pPr>
              <w:keepNext/>
              <w:spacing w:after="20"/>
              <w:jc w:val="right"/>
            </w:pPr>
            <w:r>
              <w:rPr>
                <w:sz w:val="16"/>
              </w:rPr>
              <w:t>0</w:t>
            </w:r>
          </w:p>
        </w:tc>
        <w:tc>
          <w:tcPr>
            <w:tcW w:w="1063" w:type="dxa"/>
            <w:noWrap/>
          </w:tcPr>
          <w:p w14:paraId="4B80EE4F" w14:textId="77777777" w:rsidR="00A37447" w:rsidRPr="00786EA0" w:rsidRDefault="00A37447">
            <w:pPr>
              <w:keepNext/>
              <w:spacing w:after="20"/>
              <w:jc w:val="right"/>
              <w:rPr>
                <w:sz w:val="16"/>
                <w:szCs w:val="16"/>
              </w:rPr>
            </w:pPr>
            <w:r w:rsidRPr="00786EA0">
              <w:rPr>
                <w:sz w:val="16"/>
                <w:szCs w:val="16"/>
              </w:rPr>
              <w:t>n.</w:t>
            </w:r>
            <w:r>
              <w:rPr>
                <w:sz w:val="16"/>
                <w:szCs w:val="16"/>
              </w:rPr>
              <w:t xml:space="preserve"> </w:t>
            </w:r>
            <w:r w:rsidRPr="00786EA0">
              <w:rPr>
                <w:sz w:val="16"/>
                <w:szCs w:val="16"/>
              </w:rPr>
              <w:t>a.</w:t>
            </w:r>
          </w:p>
        </w:tc>
        <w:tc>
          <w:tcPr>
            <w:tcW w:w="1063" w:type="dxa"/>
            <w:noWrap/>
          </w:tcPr>
          <w:p w14:paraId="2C4335FA" w14:textId="77777777" w:rsidR="00A37447" w:rsidRPr="00786EA0" w:rsidRDefault="00A37447">
            <w:pPr>
              <w:keepNext/>
              <w:spacing w:after="20"/>
              <w:jc w:val="right"/>
              <w:rPr>
                <w:sz w:val="16"/>
                <w:szCs w:val="16"/>
              </w:rPr>
            </w:pPr>
            <w:r w:rsidRPr="00786EA0">
              <w:rPr>
                <w:sz w:val="16"/>
                <w:szCs w:val="16"/>
              </w:rPr>
              <w:t>n.</w:t>
            </w:r>
            <w:r>
              <w:rPr>
                <w:sz w:val="16"/>
                <w:szCs w:val="16"/>
              </w:rPr>
              <w:t xml:space="preserve"> </w:t>
            </w:r>
            <w:r w:rsidRPr="00786EA0">
              <w:rPr>
                <w:sz w:val="16"/>
                <w:szCs w:val="16"/>
              </w:rPr>
              <w:t>a.</w:t>
            </w:r>
          </w:p>
        </w:tc>
      </w:tr>
      <w:tr w:rsidR="00855697" w14:paraId="55079693" w14:textId="77777777">
        <w:trPr>
          <w:cantSplit/>
        </w:trPr>
        <w:tc>
          <w:tcPr>
            <w:tcW w:w="1063" w:type="dxa"/>
            <w:noWrap/>
          </w:tcPr>
          <w:p w14:paraId="59A0E6B3" w14:textId="77777777" w:rsidR="00A37447" w:rsidRDefault="00A37447">
            <w:pPr>
              <w:keepNext/>
              <w:spacing w:after="20"/>
            </w:pPr>
            <w:r>
              <w:rPr>
                <w:sz w:val="17"/>
              </w:rPr>
              <w:t>Exploratorios</w:t>
            </w:r>
          </w:p>
        </w:tc>
        <w:tc>
          <w:tcPr>
            <w:tcW w:w="1063" w:type="dxa"/>
            <w:noWrap/>
          </w:tcPr>
          <w:p w14:paraId="0CBF5612" w14:textId="77777777" w:rsidR="00A37447" w:rsidRDefault="00A37447">
            <w:pPr>
              <w:keepNext/>
              <w:spacing w:after="20"/>
              <w:jc w:val="right"/>
            </w:pPr>
            <w:r>
              <w:rPr>
                <w:sz w:val="16"/>
              </w:rPr>
              <w:t>1</w:t>
            </w:r>
          </w:p>
        </w:tc>
        <w:tc>
          <w:tcPr>
            <w:tcW w:w="1063" w:type="dxa"/>
            <w:noWrap/>
          </w:tcPr>
          <w:p w14:paraId="23559961" w14:textId="77777777" w:rsidR="00A37447" w:rsidRDefault="00A37447">
            <w:pPr>
              <w:keepNext/>
              <w:spacing w:after="20"/>
              <w:jc w:val="right"/>
            </w:pPr>
            <w:r>
              <w:rPr>
                <w:sz w:val="16"/>
              </w:rPr>
              <w:t>0</w:t>
            </w:r>
          </w:p>
        </w:tc>
        <w:tc>
          <w:tcPr>
            <w:tcW w:w="1063" w:type="dxa"/>
            <w:noWrap/>
          </w:tcPr>
          <w:p w14:paraId="25E9D17E" w14:textId="77777777" w:rsidR="00A37447" w:rsidRDefault="00A37447">
            <w:pPr>
              <w:keepNext/>
              <w:spacing w:after="20"/>
              <w:jc w:val="right"/>
            </w:pPr>
            <w:r>
              <w:rPr>
                <w:sz w:val="16"/>
              </w:rPr>
              <w:t>0</w:t>
            </w:r>
          </w:p>
        </w:tc>
        <w:tc>
          <w:tcPr>
            <w:tcW w:w="1063" w:type="dxa"/>
            <w:noWrap/>
          </w:tcPr>
          <w:p w14:paraId="16168B8B" w14:textId="77777777" w:rsidR="00A37447" w:rsidRDefault="00A37447">
            <w:pPr>
              <w:keepNext/>
              <w:spacing w:after="20"/>
              <w:jc w:val="right"/>
            </w:pPr>
            <w:r>
              <w:rPr>
                <w:sz w:val="16"/>
              </w:rPr>
              <w:t>2</w:t>
            </w:r>
          </w:p>
        </w:tc>
        <w:tc>
          <w:tcPr>
            <w:tcW w:w="1063" w:type="dxa"/>
            <w:noWrap/>
          </w:tcPr>
          <w:p w14:paraId="79F412E2" w14:textId="77777777" w:rsidR="00A37447" w:rsidRDefault="00A37447">
            <w:pPr>
              <w:keepNext/>
              <w:spacing w:after="20"/>
              <w:jc w:val="right"/>
            </w:pPr>
            <w:r>
              <w:rPr>
                <w:sz w:val="16"/>
              </w:rPr>
              <w:t>0</w:t>
            </w:r>
          </w:p>
        </w:tc>
        <w:tc>
          <w:tcPr>
            <w:tcW w:w="1063" w:type="dxa"/>
            <w:noWrap/>
          </w:tcPr>
          <w:p w14:paraId="23855B91" w14:textId="77777777" w:rsidR="00A37447" w:rsidRPr="00786EA0" w:rsidRDefault="00A37447">
            <w:pPr>
              <w:keepNext/>
              <w:spacing w:after="20"/>
              <w:jc w:val="right"/>
              <w:rPr>
                <w:sz w:val="16"/>
                <w:szCs w:val="16"/>
              </w:rPr>
            </w:pPr>
            <w:r w:rsidRPr="00786EA0">
              <w:rPr>
                <w:sz w:val="16"/>
                <w:szCs w:val="16"/>
              </w:rPr>
              <w:t>n.</w:t>
            </w:r>
            <w:r>
              <w:rPr>
                <w:sz w:val="16"/>
                <w:szCs w:val="16"/>
              </w:rPr>
              <w:t xml:space="preserve"> </w:t>
            </w:r>
            <w:r w:rsidRPr="00786EA0">
              <w:rPr>
                <w:sz w:val="16"/>
                <w:szCs w:val="16"/>
              </w:rPr>
              <w:t>a.</w:t>
            </w:r>
          </w:p>
        </w:tc>
        <w:tc>
          <w:tcPr>
            <w:tcW w:w="1063" w:type="dxa"/>
            <w:noWrap/>
          </w:tcPr>
          <w:p w14:paraId="4E16A011" w14:textId="77777777" w:rsidR="00A37447" w:rsidRPr="00786EA0" w:rsidRDefault="00A37447">
            <w:pPr>
              <w:keepNext/>
              <w:spacing w:after="20"/>
              <w:jc w:val="right"/>
              <w:rPr>
                <w:sz w:val="16"/>
                <w:szCs w:val="16"/>
              </w:rPr>
            </w:pPr>
            <w:r w:rsidRPr="00786EA0">
              <w:rPr>
                <w:sz w:val="16"/>
                <w:szCs w:val="16"/>
              </w:rPr>
              <w:t>n.</w:t>
            </w:r>
            <w:r>
              <w:rPr>
                <w:sz w:val="16"/>
                <w:szCs w:val="16"/>
              </w:rPr>
              <w:t xml:space="preserve"> </w:t>
            </w:r>
            <w:r w:rsidRPr="00786EA0">
              <w:rPr>
                <w:sz w:val="16"/>
                <w:szCs w:val="16"/>
              </w:rPr>
              <w:t>a.</w:t>
            </w:r>
          </w:p>
        </w:tc>
      </w:tr>
      <w:tr w:rsidR="00855697" w14:paraId="4B94F9E6" w14:textId="77777777">
        <w:trPr>
          <w:cantSplit/>
        </w:trPr>
        <w:tc>
          <w:tcPr>
            <w:tcW w:w="1063" w:type="dxa"/>
            <w:noWrap/>
          </w:tcPr>
          <w:p w14:paraId="1F285C8C" w14:textId="77777777" w:rsidR="00A37447" w:rsidRDefault="00A37447">
            <w:pPr>
              <w:keepNext/>
              <w:spacing w:after="20"/>
            </w:pPr>
            <w:r>
              <w:rPr>
                <w:b/>
                <w:sz w:val="17"/>
              </w:rPr>
              <w:t>Total</w:t>
            </w:r>
          </w:p>
        </w:tc>
        <w:tc>
          <w:tcPr>
            <w:tcW w:w="1063" w:type="dxa"/>
            <w:noWrap/>
          </w:tcPr>
          <w:p w14:paraId="6A7323D9" w14:textId="77777777" w:rsidR="00A37447" w:rsidRDefault="00A37447">
            <w:pPr>
              <w:keepNext/>
              <w:spacing w:after="20"/>
              <w:jc w:val="right"/>
            </w:pPr>
            <w:r>
              <w:rPr>
                <w:sz w:val="16"/>
              </w:rPr>
              <w:t>110</w:t>
            </w:r>
          </w:p>
        </w:tc>
        <w:tc>
          <w:tcPr>
            <w:tcW w:w="1063" w:type="dxa"/>
            <w:noWrap/>
          </w:tcPr>
          <w:p w14:paraId="5E33367D" w14:textId="77777777" w:rsidR="00A37447" w:rsidRDefault="00A37447">
            <w:pPr>
              <w:keepNext/>
              <w:spacing w:after="20"/>
              <w:jc w:val="right"/>
            </w:pPr>
            <w:r>
              <w:rPr>
                <w:sz w:val="16"/>
              </w:rPr>
              <w:t>91</w:t>
            </w:r>
          </w:p>
        </w:tc>
        <w:tc>
          <w:tcPr>
            <w:tcW w:w="1063" w:type="dxa"/>
            <w:noWrap/>
          </w:tcPr>
          <w:p w14:paraId="6DBE4082" w14:textId="77777777" w:rsidR="00A37447" w:rsidRDefault="00A37447">
            <w:pPr>
              <w:keepNext/>
              <w:spacing w:after="20"/>
              <w:jc w:val="right"/>
            </w:pPr>
            <w:r>
              <w:rPr>
                <w:sz w:val="16"/>
              </w:rPr>
              <w:t>41</w:t>
            </w:r>
          </w:p>
        </w:tc>
        <w:tc>
          <w:tcPr>
            <w:tcW w:w="1063" w:type="dxa"/>
            <w:noWrap/>
          </w:tcPr>
          <w:p w14:paraId="36BDB908" w14:textId="77777777" w:rsidR="00A37447" w:rsidRDefault="00A37447">
            <w:pPr>
              <w:keepNext/>
              <w:spacing w:after="20"/>
              <w:jc w:val="right"/>
            </w:pPr>
            <w:r>
              <w:rPr>
                <w:sz w:val="16"/>
              </w:rPr>
              <w:t>62</w:t>
            </w:r>
          </w:p>
        </w:tc>
        <w:tc>
          <w:tcPr>
            <w:tcW w:w="1063" w:type="dxa"/>
            <w:noWrap/>
          </w:tcPr>
          <w:p w14:paraId="277040D9" w14:textId="77777777" w:rsidR="00A37447" w:rsidRDefault="00A37447">
            <w:pPr>
              <w:keepNext/>
              <w:spacing w:after="20"/>
              <w:jc w:val="right"/>
            </w:pPr>
            <w:r>
              <w:rPr>
                <w:sz w:val="16"/>
              </w:rPr>
              <w:t>69</w:t>
            </w:r>
          </w:p>
        </w:tc>
        <w:tc>
          <w:tcPr>
            <w:tcW w:w="1063" w:type="dxa"/>
            <w:noWrap/>
          </w:tcPr>
          <w:p w14:paraId="18748F9D" w14:textId="77777777" w:rsidR="00A37447" w:rsidRDefault="00A37447">
            <w:pPr>
              <w:keepNext/>
              <w:spacing w:after="20"/>
              <w:jc w:val="right"/>
            </w:pPr>
            <w:r>
              <w:rPr>
                <w:sz w:val="16"/>
              </w:rPr>
              <w:t>11,3 %</w:t>
            </w:r>
          </w:p>
        </w:tc>
        <w:tc>
          <w:tcPr>
            <w:tcW w:w="1063" w:type="dxa"/>
            <w:noWrap/>
          </w:tcPr>
          <w:p w14:paraId="4AB63826" w14:textId="77777777" w:rsidR="00A37447" w:rsidRDefault="00A37447">
            <w:pPr>
              <w:keepNext/>
              <w:spacing w:after="20"/>
              <w:jc w:val="right"/>
            </w:pPr>
            <w:r>
              <w:rPr>
                <w:sz w:val="16"/>
              </w:rPr>
              <w:t>-11,0 %</w:t>
            </w:r>
          </w:p>
        </w:tc>
      </w:tr>
    </w:tbl>
    <w:p w14:paraId="2D43BC34" w14:textId="77777777" w:rsidR="00A37447" w:rsidRDefault="00A37447">
      <w:pPr>
        <w:keepLines/>
        <w:spacing w:before="40"/>
        <w:jc w:val="right"/>
      </w:pPr>
      <w:r>
        <w:rPr>
          <w:b/>
          <w:color w:val="404040"/>
          <w:sz w:val="15"/>
        </w:rPr>
        <w:t>FUENTE: Perupetro</w:t>
      </w:r>
    </w:p>
    <w:p w14:paraId="1A97F3F4" w14:textId="6F43B3A1" w:rsidR="00A37447" w:rsidRDefault="00A37447">
      <w:pPr>
        <w:spacing w:before="160"/>
        <w:jc w:val="center"/>
      </w:pPr>
      <w:r>
        <w:rPr>
          <w:noProof/>
        </w:rPr>
        <w:lastRenderedPageBreak/>
        <w:drawing>
          <wp:inline distT="0" distB="0" distL="0" distR="0" wp14:anchorId="53A6E38F" wp14:editId="4474BA98">
            <wp:extent cx="4320000" cy="2728092"/>
            <wp:effectExtent l="0" t="0" r="0" b="0"/>
            <wp:docPr id="90037" name="Picture 9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24.png"/>
                    <pic:cNvPicPr/>
                  </pic:nvPicPr>
                  <pic:blipFill>
                    <a:blip r:embed="rId34"/>
                    <a:stretch>
                      <a:fillRect/>
                    </a:stretch>
                  </pic:blipFill>
                  <pic:spPr>
                    <a:xfrm>
                      <a:off x="0" y="0"/>
                      <a:ext cx="4320000" cy="2728092"/>
                    </a:xfrm>
                    <a:prstGeom prst="rect">
                      <a:avLst/>
                    </a:prstGeom>
                  </pic:spPr>
                </pic:pic>
              </a:graphicData>
            </a:graphic>
          </wp:inline>
        </w:drawing>
      </w:r>
    </w:p>
    <w:p w14:paraId="5276A20B" w14:textId="69F4C7DA" w:rsidR="00A37447" w:rsidRDefault="00A37447">
      <w:pPr>
        <w:spacing w:before="160"/>
        <w:jc w:val="center"/>
      </w:pPr>
      <w:r>
        <w:rPr>
          <w:noProof/>
        </w:rPr>
        <w:drawing>
          <wp:inline distT="0" distB="0" distL="0" distR="0" wp14:anchorId="4D27244C" wp14:editId="71A85198">
            <wp:extent cx="4320000" cy="2698051"/>
            <wp:effectExtent l="0" t="0" r="0" b="0"/>
            <wp:docPr id="90038" name="Picture 9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25.png"/>
                    <pic:cNvPicPr/>
                  </pic:nvPicPr>
                  <pic:blipFill>
                    <a:blip r:embed="rId35"/>
                    <a:stretch>
                      <a:fillRect/>
                    </a:stretch>
                  </pic:blipFill>
                  <pic:spPr>
                    <a:xfrm>
                      <a:off x="0" y="0"/>
                      <a:ext cx="4320000" cy="2698051"/>
                    </a:xfrm>
                    <a:prstGeom prst="rect">
                      <a:avLst/>
                    </a:prstGeom>
                  </pic:spPr>
                </pic:pic>
              </a:graphicData>
            </a:graphic>
          </wp:inline>
        </w:drawing>
      </w:r>
    </w:p>
    <w:p w14:paraId="2C336800" w14:textId="77777777" w:rsidR="00A37447" w:rsidRDefault="00A37447"/>
    <w:p w14:paraId="4B297FF9" w14:textId="0E3EC8F3" w:rsidR="00A37447" w:rsidRPr="00552E6B" w:rsidRDefault="00A37447">
      <w:pPr>
        <w:keepLines/>
        <w:rPr>
          <w:lang w:val="es-PE"/>
        </w:rPr>
      </w:pPr>
      <w:r w:rsidRPr="00552E6B">
        <w:rPr>
          <w:lang w:val="es-PE"/>
        </w:rPr>
        <w:t xml:space="preserve">Tampoco se registró actividad geofísica </w:t>
      </w:r>
      <w:r>
        <w:rPr>
          <w:lang w:val="es-PE"/>
        </w:rPr>
        <w:t>–</w:t>
      </w:r>
      <w:r w:rsidRPr="00552E6B">
        <w:rPr>
          <w:lang w:val="es-PE"/>
        </w:rPr>
        <w:t>ni sísmica 2D ni 3D</w:t>
      </w:r>
      <w:r>
        <w:rPr>
          <w:lang w:val="es-PE"/>
        </w:rPr>
        <w:t>–</w:t>
      </w:r>
      <w:r w:rsidRPr="00552E6B">
        <w:rPr>
          <w:lang w:val="es-PE"/>
        </w:rPr>
        <w:t xml:space="preserve">, en marcado contraste con 2024, cuando Anadarko realizó la mayor adquisición de datos sísmicos 3D de la historia del Perú (6.163 km²) en </w:t>
      </w:r>
      <w:r w:rsidR="00530406">
        <w:rPr>
          <w:lang w:val="es-PE"/>
        </w:rPr>
        <w:t>el</w:t>
      </w:r>
      <w:r w:rsidRPr="00552E6B">
        <w:rPr>
          <w:lang w:val="es-PE"/>
        </w:rPr>
        <w:t xml:space="preserve"> </w:t>
      </w:r>
      <w:r>
        <w:rPr>
          <w:lang w:val="es-PE"/>
        </w:rPr>
        <w:t>L</w:t>
      </w:r>
      <w:r w:rsidRPr="00552E6B">
        <w:rPr>
          <w:lang w:val="es-PE"/>
        </w:rPr>
        <w:t xml:space="preserve">ote </w:t>
      </w:r>
      <w:r w:rsidRPr="00552E6B">
        <w:rPr>
          <w:i/>
          <w:iCs/>
          <w:lang w:val="es-PE"/>
        </w:rPr>
        <w:t>offshore</w:t>
      </w:r>
      <w:r w:rsidR="00530406">
        <w:rPr>
          <w:i/>
          <w:iCs/>
          <w:lang w:val="es-PE"/>
        </w:rPr>
        <w:t xml:space="preserve"> </w:t>
      </w:r>
      <w:r w:rsidR="00530406">
        <w:rPr>
          <w:lang w:val="es-PE"/>
        </w:rPr>
        <w:t>Z-62</w:t>
      </w:r>
      <w:r w:rsidRPr="00552E6B">
        <w:rPr>
          <w:lang w:val="es-PE"/>
        </w:rPr>
        <w:t>. Los resultados del procesamiento de esos datos podrían aún gatillar perforaciones exploratorias en los próximos años.</w:t>
      </w:r>
    </w:p>
    <w:p w14:paraId="121F413C" w14:textId="77777777" w:rsidR="00A37447" w:rsidRPr="00552E6B" w:rsidRDefault="00A37447">
      <w:pPr>
        <w:rPr>
          <w:lang w:val="es-PE"/>
        </w:rPr>
      </w:pPr>
    </w:p>
    <w:p w14:paraId="5416631A" w14:textId="4AAD70B8" w:rsidR="00A37447" w:rsidRDefault="00A37447">
      <w:pPr>
        <w:spacing w:before="160"/>
        <w:jc w:val="center"/>
      </w:pPr>
      <w:r>
        <w:rPr>
          <w:noProof/>
        </w:rPr>
        <w:lastRenderedPageBreak/>
        <w:drawing>
          <wp:inline distT="0" distB="0" distL="0" distR="0" wp14:anchorId="614F3A30" wp14:editId="37783AF3">
            <wp:extent cx="4320000" cy="2747703"/>
            <wp:effectExtent l="0" t="0" r="0" b="0"/>
            <wp:docPr id="90039" name="Picture 9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26.png"/>
                    <pic:cNvPicPr/>
                  </pic:nvPicPr>
                  <pic:blipFill>
                    <a:blip r:embed="rId36"/>
                    <a:stretch>
                      <a:fillRect/>
                    </a:stretch>
                  </pic:blipFill>
                  <pic:spPr>
                    <a:xfrm>
                      <a:off x="0" y="0"/>
                      <a:ext cx="4320000" cy="2747703"/>
                    </a:xfrm>
                    <a:prstGeom prst="rect">
                      <a:avLst/>
                    </a:prstGeom>
                  </pic:spPr>
                </pic:pic>
              </a:graphicData>
            </a:graphic>
          </wp:inline>
        </w:drawing>
      </w:r>
    </w:p>
    <w:p w14:paraId="79E4C125" w14:textId="77777777" w:rsidR="00A37447" w:rsidRDefault="00A37447">
      <w:pPr>
        <w:jc w:val="center"/>
      </w:pPr>
    </w:p>
    <w:p w14:paraId="57D2AD70" w14:textId="0559A4C6" w:rsidR="00A37447" w:rsidRPr="00552E6B" w:rsidRDefault="00A37447">
      <w:pPr>
        <w:keepLines/>
        <w:rPr>
          <w:b/>
          <w:lang w:val="es-PE"/>
        </w:rPr>
      </w:pPr>
      <w:r w:rsidRPr="00552E6B">
        <w:rPr>
          <w:lang w:val="es-PE"/>
        </w:rPr>
        <w:t xml:space="preserve">A nivel de reservas, se estima que las probadas de gas natural descendieron a 6.639 giga pies cúbicos (Gpc) al cierre de 2025. Esto representa una caída de 7 % respecto a los 7.133 Gpc de 2024 y un nivel 28 % inferior al registrado al cierre de 2021 (9.259 Gpc). Las reservas totales </w:t>
      </w:r>
      <w:r>
        <w:rPr>
          <w:lang w:val="es-PE"/>
        </w:rPr>
        <w:t>–</w:t>
      </w:r>
      <w:r w:rsidRPr="00552E6B">
        <w:rPr>
          <w:lang w:val="es-PE"/>
        </w:rPr>
        <w:t>incluyendo probables y posibles</w:t>
      </w:r>
      <w:r>
        <w:rPr>
          <w:lang w:val="es-PE"/>
        </w:rPr>
        <w:t>–</w:t>
      </w:r>
      <w:r w:rsidRPr="00552E6B">
        <w:rPr>
          <w:lang w:val="es-PE"/>
        </w:rPr>
        <w:t xml:space="preserve"> se ubicaron en alrededor de 9.330 Gpc, de las cuales el 14 % corresponde a probables y el 15 % a posibles.</w:t>
      </w:r>
    </w:p>
    <w:p w14:paraId="48548B69" w14:textId="77777777" w:rsidR="00A37447" w:rsidRPr="00552E6B" w:rsidRDefault="00A37447">
      <w:pPr>
        <w:rPr>
          <w:lang w:val="es-PE"/>
        </w:rPr>
      </w:pPr>
    </w:p>
    <w:p w14:paraId="6C669C0E" w14:textId="77777777" w:rsidR="00C75A27" w:rsidRDefault="00D4093E">
      <w:pPr>
        <w:spacing w:before="160"/>
        <w:jc w:val="center"/>
      </w:pPr>
      <w:r>
        <w:rPr>
          <w:noProof/>
        </w:rPr>
        <w:drawing>
          <wp:inline distT="0" distB="0" distL="0" distR="0" wp14:anchorId="1A7A4B41" wp14:editId="60A5C152">
            <wp:extent cx="4320000" cy="2955790"/>
            <wp:effectExtent l="0" t="0" r="0" b="0"/>
            <wp:docPr id="90040" name="Picture 9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3.png"/>
                    <pic:cNvPicPr/>
                  </pic:nvPicPr>
                  <pic:blipFill>
                    <a:blip r:embed="rId13"/>
                    <a:stretch>
                      <a:fillRect/>
                    </a:stretch>
                  </pic:blipFill>
                  <pic:spPr>
                    <a:xfrm>
                      <a:off x="0" y="0"/>
                      <a:ext cx="4320000" cy="2955790"/>
                    </a:xfrm>
                    <a:prstGeom prst="rect">
                      <a:avLst/>
                    </a:prstGeom>
                  </pic:spPr>
                </pic:pic>
              </a:graphicData>
            </a:graphic>
          </wp:inline>
        </w:drawing>
      </w:r>
    </w:p>
    <w:p w14:paraId="377DB541" w14:textId="77777777" w:rsidR="00C75A27" w:rsidRDefault="00D4093E">
      <w:pPr>
        <w:spacing w:before="160"/>
        <w:jc w:val="center"/>
      </w:pPr>
      <w:r>
        <w:rPr>
          <w:noProof/>
        </w:rPr>
        <w:lastRenderedPageBreak/>
        <w:drawing>
          <wp:inline distT="0" distB="0" distL="0" distR="0" wp14:anchorId="51F65648" wp14:editId="7258ECC8">
            <wp:extent cx="4320000" cy="2968838"/>
            <wp:effectExtent l="0" t="0" r="0" b="0"/>
            <wp:docPr id="90041" name="Picture 9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28.png"/>
                    <pic:cNvPicPr/>
                  </pic:nvPicPr>
                  <pic:blipFill>
                    <a:blip r:embed="rId37"/>
                    <a:stretch>
                      <a:fillRect/>
                    </a:stretch>
                  </pic:blipFill>
                  <pic:spPr>
                    <a:xfrm>
                      <a:off x="0" y="0"/>
                      <a:ext cx="4320000" cy="2968838"/>
                    </a:xfrm>
                    <a:prstGeom prst="rect">
                      <a:avLst/>
                    </a:prstGeom>
                  </pic:spPr>
                </pic:pic>
              </a:graphicData>
            </a:graphic>
          </wp:inline>
        </w:drawing>
      </w:r>
    </w:p>
    <w:p w14:paraId="0D24EF0B" w14:textId="77777777" w:rsidR="00A37447" w:rsidRDefault="00A37447">
      <w:pPr>
        <w:spacing w:before="160"/>
        <w:jc w:val="center"/>
      </w:pPr>
    </w:p>
    <w:p w14:paraId="6C9F554E" w14:textId="77777777" w:rsidR="00C75A27" w:rsidRDefault="00D4093E">
      <w:pPr>
        <w:spacing w:before="160"/>
        <w:jc w:val="center"/>
      </w:pPr>
      <w:r>
        <w:rPr>
          <w:noProof/>
        </w:rPr>
        <w:drawing>
          <wp:inline distT="0" distB="0" distL="0" distR="0" wp14:anchorId="5880B2AF" wp14:editId="5C53D17E">
            <wp:extent cx="4320000" cy="2953659"/>
            <wp:effectExtent l="0" t="0" r="0" b="0"/>
            <wp:docPr id="90042" name="Picture 9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29.png"/>
                    <pic:cNvPicPr/>
                  </pic:nvPicPr>
                  <pic:blipFill>
                    <a:blip r:embed="rId38"/>
                    <a:stretch>
                      <a:fillRect/>
                    </a:stretch>
                  </pic:blipFill>
                  <pic:spPr>
                    <a:xfrm>
                      <a:off x="0" y="0"/>
                      <a:ext cx="4320000" cy="2953659"/>
                    </a:xfrm>
                    <a:prstGeom prst="rect">
                      <a:avLst/>
                    </a:prstGeom>
                  </pic:spPr>
                </pic:pic>
              </a:graphicData>
            </a:graphic>
          </wp:inline>
        </w:drawing>
      </w:r>
    </w:p>
    <w:p w14:paraId="7E01470A" w14:textId="0032520A" w:rsidR="00A37447" w:rsidRPr="008E55EE" w:rsidRDefault="00D4093E" w:rsidP="008E55EE">
      <w:pPr>
        <w:spacing w:before="160"/>
        <w:jc w:val="center"/>
      </w:pPr>
      <w:r>
        <w:rPr>
          <w:noProof/>
        </w:rPr>
        <w:lastRenderedPageBreak/>
        <w:drawing>
          <wp:inline distT="0" distB="0" distL="0" distR="0" wp14:anchorId="1698BA86" wp14:editId="7C3861CB">
            <wp:extent cx="4320000" cy="2927758"/>
            <wp:effectExtent l="0" t="0" r="0" b="0"/>
            <wp:docPr id="90043" name="Picture 9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30.png"/>
                    <pic:cNvPicPr/>
                  </pic:nvPicPr>
                  <pic:blipFill>
                    <a:blip r:embed="rId39"/>
                    <a:stretch>
                      <a:fillRect/>
                    </a:stretch>
                  </pic:blipFill>
                  <pic:spPr>
                    <a:xfrm>
                      <a:off x="0" y="0"/>
                      <a:ext cx="4320000" cy="2927758"/>
                    </a:xfrm>
                    <a:prstGeom prst="rect">
                      <a:avLst/>
                    </a:prstGeom>
                  </pic:spPr>
                </pic:pic>
              </a:graphicData>
            </a:graphic>
          </wp:inline>
        </w:drawing>
      </w:r>
    </w:p>
    <w:p w14:paraId="5CF32487" w14:textId="77777777" w:rsidR="00A37447" w:rsidRDefault="00A37447">
      <w:pPr>
        <w:spacing w:before="160"/>
        <w:jc w:val="center"/>
        <w:rPr>
          <w:lang w:val="es-ES"/>
        </w:rPr>
      </w:pPr>
      <w:r>
        <w:rPr>
          <w:noProof/>
        </w:rPr>
        <w:drawing>
          <wp:inline distT="0" distB="0" distL="0" distR="0" wp14:anchorId="1A0CB504" wp14:editId="74890F20">
            <wp:extent cx="4320000" cy="2955789"/>
            <wp:effectExtent l="0" t="0" r="0" b="0"/>
            <wp:docPr id="90044" name="Picture 9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4.png"/>
                    <pic:cNvPicPr/>
                  </pic:nvPicPr>
                  <pic:blipFill>
                    <a:blip r:embed="rId14"/>
                    <a:stretch>
                      <a:fillRect/>
                    </a:stretch>
                  </pic:blipFill>
                  <pic:spPr>
                    <a:xfrm>
                      <a:off x="0" y="0"/>
                      <a:ext cx="4320000" cy="2955789"/>
                    </a:xfrm>
                    <a:prstGeom prst="rect">
                      <a:avLst/>
                    </a:prstGeom>
                  </pic:spPr>
                </pic:pic>
              </a:graphicData>
            </a:graphic>
          </wp:inline>
        </w:drawing>
      </w:r>
    </w:p>
    <w:p w14:paraId="3F7B6D5A" w14:textId="10955697" w:rsidR="00A37447" w:rsidRPr="00552E6B" w:rsidRDefault="00A37447" w:rsidP="00786EA0">
      <w:pPr>
        <w:keepLines/>
        <w:spacing w:before="160"/>
        <w:rPr>
          <w:lang w:val="es-PE"/>
        </w:rPr>
      </w:pPr>
      <w:r w:rsidRPr="00552E6B">
        <w:rPr>
          <w:lang w:val="es-PE"/>
        </w:rPr>
        <w:t xml:space="preserve">El Índice de Comprobación de Reservas </w:t>
      </w:r>
      <w:r>
        <w:rPr>
          <w:lang w:val="es-PE"/>
        </w:rPr>
        <w:t>–</w:t>
      </w:r>
      <w:r w:rsidRPr="00552E6B">
        <w:rPr>
          <w:lang w:val="es-PE"/>
        </w:rPr>
        <w:t>que mide la proporción de reservas probadas sobre el total</w:t>
      </w:r>
      <w:r>
        <w:rPr>
          <w:lang w:val="es-PE"/>
        </w:rPr>
        <w:t>–</w:t>
      </w:r>
      <w:r w:rsidRPr="00552E6B">
        <w:rPr>
          <w:lang w:val="es-PE"/>
        </w:rPr>
        <w:t xml:space="preserve"> se redujo a</w:t>
      </w:r>
      <w:r>
        <w:rPr>
          <w:lang w:val="es-PE"/>
        </w:rPr>
        <w:t>l</w:t>
      </w:r>
      <w:r w:rsidRPr="00552E6B">
        <w:rPr>
          <w:lang w:val="es-PE"/>
        </w:rPr>
        <w:t xml:space="preserve"> 71 %, frente al 72 % de 2024, lo que refleja una mayor caída relativa de las reservas probadas respecto a las categorías de mayor incertidumbre. De mantenerse la producción en los niveles actuales, las reservas probadas alcanzarían para abastecer al país por aproximadamente 13 años, según el índice de autonomía de reservas (IAR) de 2025. Este índice ha caído ininterrumpidamente desde los 19 años registrados en 2021, </w:t>
      </w:r>
      <w:r>
        <w:rPr>
          <w:lang w:val="es-PE"/>
        </w:rPr>
        <w:t xml:space="preserve">y ha acumulado </w:t>
      </w:r>
      <w:r w:rsidRPr="00552E6B">
        <w:rPr>
          <w:lang w:val="es-PE"/>
        </w:rPr>
        <w:t xml:space="preserve">una reducción de seis años en apenas cuatro ejercicios. Sin nuevas campañas de exploración ni perforaciones en los yacimientos de mayor potencial, como Camisea o los lotes </w:t>
      </w:r>
      <w:r w:rsidRPr="00EC1276">
        <w:rPr>
          <w:i/>
          <w:iCs/>
          <w:lang w:val="es-PE"/>
        </w:rPr>
        <w:t>offshore</w:t>
      </w:r>
      <w:r w:rsidRPr="00552E6B">
        <w:rPr>
          <w:lang w:val="es-PE"/>
        </w:rPr>
        <w:t xml:space="preserve"> del zócalo continental, la tendencia declinante continuar</w:t>
      </w:r>
      <w:r w:rsidR="008E55EE">
        <w:rPr>
          <w:lang w:val="es-PE"/>
        </w:rPr>
        <w:t>ía</w:t>
      </w:r>
      <w:r w:rsidRPr="00552E6B">
        <w:rPr>
          <w:lang w:val="es-PE"/>
        </w:rPr>
        <w:t xml:space="preserve">, con una salvedad. El </w:t>
      </w:r>
      <w:r>
        <w:rPr>
          <w:lang w:val="es-PE"/>
        </w:rPr>
        <w:t>L</w:t>
      </w:r>
      <w:r w:rsidRPr="00552E6B">
        <w:rPr>
          <w:lang w:val="es-PE"/>
        </w:rPr>
        <w:t>ote 58, operado por CNPC en Cusco, figura en el libro de reservas y recursos de hidrocarburos del Minem con cero reservas probadas, probables y posibles, y con más de 3.000 Gpc en recursos contingentes. Su entrada en producción, prevista para fines de 2026 aunque sin avances públicos recientes que confirmen el cronograma, permitiría migrar esos volúmenes a reservas y cambiar la tendencia de reducción de los últimos años.</w:t>
      </w:r>
    </w:p>
    <w:p w14:paraId="59E6DCA7" w14:textId="77777777" w:rsidR="00A37447" w:rsidRPr="00552E6B" w:rsidRDefault="00A37447">
      <w:pPr>
        <w:pStyle w:val="Ttulo3"/>
        <w:pageBreakBefore/>
        <w:rPr>
          <w:lang w:val="es-PE"/>
        </w:rPr>
      </w:pPr>
      <w:bookmarkStart w:id="9" w:name="_Toc207879142"/>
      <w:bookmarkStart w:id="10" w:name="_Toc213256212"/>
      <w:bookmarkStart w:id="11" w:name="_Toc235083021"/>
      <w:r>
        <w:rPr>
          <w:rFonts w:eastAsia="Calibri"/>
          <w:lang w:val="es-ES"/>
        </w:rPr>
        <w:lastRenderedPageBreak/>
        <w:t xml:space="preserve">3.2.3. </w:t>
      </w:r>
      <w:r w:rsidRPr="00552E6B">
        <w:rPr>
          <w:lang w:val="es-PE"/>
        </w:rPr>
        <w:t>Producción de gas natural en el Perú</w:t>
      </w:r>
      <w:bookmarkEnd w:id="9"/>
      <w:bookmarkEnd w:id="10"/>
      <w:bookmarkEnd w:id="11"/>
    </w:p>
    <w:p w14:paraId="4515E344" w14:textId="77777777" w:rsidR="00A37447" w:rsidRPr="00552E6B" w:rsidRDefault="00A37447">
      <w:pPr>
        <w:keepLines/>
        <w:rPr>
          <w:noProof/>
          <w:lang w:val="es-PE"/>
        </w:rPr>
      </w:pPr>
      <w:r w:rsidRPr="00552E6B">
        <w:rPr>
          <w:noProof/>
          <w:lang w:val="es-PE"/>
        </w:rPr>
        <w:t>En 2025, la producción fiscalizada de gas natural totalizó 494 Gpc, equivalentes a 1.353 millones de pies cúbicos diarios (MMpcd), cifra inferior en 3 % a la registrada en 2024 (511 Gpc), lo que marca el segundo año consecutivo de retroceso tras el máximo histórico de 2023. El complejo de Camisea (lotes 88, 56 y 57) siguió concentrando el 95 % de la producción nacional.</w:t>
      </w:r>
    </w:p>
    <w:p w14:paraId="2032F526" w14:textId="368FD774" w:rsidR="00A37447" w:rsidRDefault="00A37447">
      <w:pPr>
        <w:spacing w:before="160"/>
        <w:jc w:val="center"/>
      </w:pPr>
      <w:r>
        <w:rPr>
          <w:noProof/>
        </w:rPr>
        <w:drawing>
          <wp:inline distT="0" distB="0" distL="0" distR="0" wp14:anchorId="49163310" wp14:editId="73B1D123">
            <wp:extent cx="4320000" cy="2872876"/>
            <wp:effectExtent l="0" t="0" r="0" b="0"/>
            <wp:docPr id="90045" name="Picture 9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32.png"/>
                    <pic:cNvPicPr/>
                  </pic:nvPicPr>
                  <pic:blipFill>
                    <a:blip r:embed="rId40"/>
                    <a:stretch>
                      <a:fillRect/>
                    </a:stretch>
                  </pic:blipFill>
                  <pic:spPr>
                    <a:xfrm>
                      <a:off x="0" y="0"/>
                      <a:ext cx="4320000" cy="2872876"/>
                    </a:xfrm>
                    <a:prstGeom prst="rect">
                      <a:avLst/>
                    </a:prstGeom>
                  </pic:spPr>
                </pic:pic>
              </a:graphicData>
            </a:graphic>
          </wp:inline>
        </w:drawing>
      </w:r>
    </w:p>
    <w:p w14:paraId="5D34AF00" w14:textId="03F5E159" w:rsidR="00A37447" w:rsidRPr="00552E6B" w:rsidRDefault="00A37447">
      <w:pPr>
        <w:keepLines/>
        <w:rPr>
          <w:noProof/>
          <w:lang w:val="es-PE"/>
        </w:rPr>
      </w:pPr>
      <w:r w:rsidRPr="00552E6B">
        <w:rPr>
          <w:noProof/>
          <w:lang w:val="es-PE"/>
        </w:rPr>
        <w:t xml:space="preserve">La contracción estuvo liderada por el Lote 56 de Pluspetrol, cuya producción </w:t>
      </w:r>
      <w:r>
        <w:rPr>
          <w:noProof/>
          <w:lang w:val="es-PE"/>
        </w:rPr>
        <w:t>–</w:t>
      </w:r>
      <w:r w:rsidRPr="00552E6B">
        <w:rPr>
          <w:noProof/>
          <w:lang w:val="es-PE"/>
        </w:rPr>
        <w:t>destinada principalmente a exportaciones de gas natural licuado (GNL)</w:t>
      </w:r>
      <w:r>
        <w:rPr>
          <w:noProof/>
          <w:lang w:val="es-PE"/>
        </w:rPr>
        <w:t>–</w:t>
      </w:r>
      <w:r w:rsidRPr="00552E6B">
        <w:rPr>
          <w:noProof/>
          <w:lang w:val="es-PE"/>
        </w:rPr>
        <w:t xml:space="preserve"> cayó 12 %, de 106 a 93 Gpc. Con ello, el lote acumula un declive estructural de casi 60 % respecto de su máximo de 230 Gpc alcanzado en 2013. El Lote 88, orientado al abastecimiento del mercado interno, también retrocedió levemente (-1 %), pero mantuvo su posición como la fuente más importante del país, </w:t>
      </w:r>
      <w:r>
        <w:rPr>
          <w:noProof/>
          <w:lang w:val="es-PE"/>
        </w:rPr>
        <w:t xml:space="preserve">al aportar </w:t>
      </w:r>
      <w:r w:rsidRPr="00552E6B">
        <w:rPr>
          <w:noProof/>
          <w:lang w:val="es-PE"/>
        </w:rPr>
        <w:t>el 59 % del total nacional.</w:t>
      </w:r>
      <w:r w:rsidR="009E394C" w:rsidRPr="009E394C">
        <w:rPr>
          <w:noProof/>
          <w:lang w:val="es-PE"/>
        </w:rPr>
        <w:t xml:space="preserve"> </w:t>
      </w:r>
      <w:r w:rsidR="009E394C" w:rsidRPr="00552E6B">
        <w:rPr>
          <w:noProof/>
          <w:lang w:val="es-PE"/>
        </w:rPr>
        <w:t xml:space="preserve">En contraste, el Lote 57 operado por Repsol registró un ligero crecimiento de 1 % </w:t>
      </w:r>
      <w:r>
        <w:rPr>
          <w:noProof/>
          <w:lang w:val="es-PE"/>
        </w:rPr>
        <w:t xml:space="preserve">con el que se alcanzó </w:t>
      </w:r>
      <w:r w:rsidR="009E394C" w:rsidRPr="00552E6B">
        <w:rPr>
          <w:noProof/>
          <w:lang w:val="es-PE"/>
        </w:rPr>
        <w:t>86 Gpc. Este incremento compensó parcialmente la contracción de los otros lotes del complejo de Camisea.</w:t>
      </w:r>
    </w:p>
    <w:p w14:paraId="72BBC316" w14:textId="0AD2C53D" w:rsidR="00A37447" w:rsidRDefault="00A37447">
      <w:pPr>
        <w:spacing w:before="160"/>
        <w:jc w:val="center"/>
        <w:rPr>
          <w:noProof/>
        </w:rPr>
      </w:pPr>
      <w:r>
        <w:rPr>
          <w:noProof/>
        </w:rPr>
        <w:drawing>
          <wp:inline distT="0" distB="0" distL="0" distR="0" wp14:anchorId="07B1343D" wp14:editId="342DB9D7">
            <wp:extent cx="4320000" cy="2710467"/>
            <wp:effectExtent l="0" t="0" r="0" b="0"/>
            <wp:docPr id="2110891807" name="Imagen 211089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33.png"/>
                    <pic:cNvPicPr/>
                  </pic:nvPicPr>
                  <pic:blipFill>
                    <a:blip r:embed="rId41"/>
                    <a:stretch>
                      <a:fillRect/>
                    </a:stretch>
                  </pic:blipFill>
                  <pic:spPr>
                    <a:xfrm>
                      <a:off x="0" y="0"/>
                      <a:ext cx="4320000" cy="2710467"/>
                    </a:xfrm>
                    <a:prstGeom prst="rect">
                      <a:avLst/>
                    </a:prstGeom>
                  </pic:spPr>
                </pic:pic>
              </a:graphicData>
            </a:graphic>
          </wp:inline>
        </w:drawing>
      </w:r>
    </w:p>
    <w:p w14:paraId="63DF5EF8" w14:textId="2F896B59" w:rsidR="00A37447" w:rsidRDefault="00A37447">
      <w:pPr>
        <w:spacing w:before="160"/>
        <w:jc w:val="center"/>
      </w:pPr>
      <w:r>
        <w:rPr>
          <w:noProof/>
        </w:rPr>
        <w:lastRenderedPageBreak/>
        <w:drawing>
          <wp:inline distT="0" distB="0" distL="0" distR="0" wp14:anchorId="593F30FD" wp14:editId="6847497A">
            <wp:extent cx="4320000" cy="2908515"/>
            <wp:effectExtent l="0" t="0" r="0" b="0"/>
            <wp:docPr id="90047" name="Picture 9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34.png"/>
                    <pic:cNvPicPr/>
                  </pic:nvPicPr>
                  <pic:blipFill>
                    <a:blip r:embed="rId42"/>
                    <a:stretch>
                      <a:fillRect/>
                    </a:stretch>
                  </pic:blipFill>
                  <pic:spPr>
                    <a:xfrm>
                      <a:off x="0" y="0"/>
                      <a:ext cx="4320000" cy="2908515"/>
                    </a:xfrm>
                    <a:prstGeom prst="rect">
                      <a:avLst/>
                    </a:prstGeom>
                  </pic:spPr>
                </pic:pic>
              </a:graphicData>
            </a:graphic>
          </wp:inline>
        </w:drawing>
      </w:r>
    </w:p>
    <w:p w14:paraId="5E3B3FFE" w14:textId="04CCD3A4" w:rsidR="00A37447" w:rsidRPr="00552E6B" w:rsidRDefault="00A37447">
      <w:pPr>
        <w:keepLines/>
        <w:rPr>
          <w:lang w:val="es-PE"/>
        </w:rPr>
      </w:pPr>
      <w:r w:rsidRPr="00552E6B">
        <w:rPr>
          <w:noProof/>
          <w:lang w:val="es-PE"/>
        </w:rPr>
        <w:t xml:space="preserve">La reinyección de gas natural fue de 84 Gpc en 2025, un descenso de 21 % frente a los 106 Gpc de 2024. Como proporción de la producción total, representó el 17 %. Esta reducción refleja </w:t>
      </w:r>
      <w:r w:rsidR="00F92BEC">
        <w:rPr>
          <w:noProof/>
          <w:lang w:val="es-PE"/>
        </w:rPr>
        <w:t xml:space="preserve">principalmente </w:t>
      </w:r>
      <w:r w:rsidRPr="00552E6B">
        <w:rPr>
          <w:noProof/>
          <w:lang w:val="es-PE"/>
        </w:rPr>
        <w:t>los menores volúmenes reinyectados en el Lote 88 (de 102,3 a 82,3 Gpc; -20 %)</w:t>
      </w:r>
      <w:r w:rsidR="00F92BEC">
        <w:rPr>
          <w:noProof/>
          <w:lang w:val="es-PE"/>
        </w:rPr>
        <w:t xml:space="preserve">, </w:t>
      </w:r>
      <w:r w:rsidRPr="00552E6B">
        <w:rPr>
          <w:noProof/>
          <w:lang w:val="es-PE"/>
        </w:rPr>
        <w:t>lo que sugiere una caída en el potencial productivo anual, dado que la demanda no ha mostrado cambios drásticos.</w:t>
      </w:r>
    </w:p>
    <w:p w14:paraId="2212EA30" w14:textId="77777777" w:rsidR="00A37447" w:rsidRDefault="00A37447">
      <w:pPr>
        <w:rPr>
          <w:lang w:val="es-ES"/>
        </w:rPr>
      </w:pPr>
    </w:p>
    <w:p w14:paraId="4AAEF107" w14:textId="082BEB60" w:rsidR="00A37447" w:rsidRDefault="00A37447">
      <w:pPr>
        <w:spacing w:before="160"/>
        <w:jc w:val="center"/>
        <w:rPr>
          <w:lang w:val="es-ES"/>
        </w:rPr>
      </w:pPr>
      <w:r>
        <w:rPr>
          <w:noProof/>
        </w:rPr>
        <w:drawing>
          <wp:inline distT="0" distB="0" distL="0" distR="0" wp14:anchorId="11DAB8EC" wp14:editId="0EF4E2EB">
            <wp:extent cx="4320000" cy="2726123"/>
            <wp:effectExtent l="0" t="0" r="0" b="0"/>
            <wp:docPr id="90048" name="Picture 9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35.png"/>
                    <pic:cNvPicPr/>
                  </pic:nvPicPr>
                  <pic:blipFill>
                    <a:blip r:embed="rId43"/>
                    <a:stretch>
                      <a:fillRect/>
                    </a:stretch>
                  </pic:blipFill>
                  <pic:spPr>
                    <a:xfrm>
                      <a:off x="0" y="0"/>
                      <a:ext cx="4320000" cy="2726123"/>
                    </a:xfrm>
                    <a:prstGeom prst="rect">
                      <a:avLst/>
                    </a:prstGeom>
                  </pic:spPr>
                </pic:pic>
              </a:graphicData>
            </a:graphic>
          </wp:inline>
        </w:drawing>
      </w:r>
    </w:p>
    <w:p w14:paraId="34617F39" w14:textId="77777777" w:rsidR="00A37447" w:rsidRDefault="00A37447">
      <w:pPr>
        <w:rPr>
          <w:lang w:val="es-ES"/>
        </w:rPr>
      </w:pPr>
    </w:p>
    <w:p w14:paraId="1B5A73D8" w14:textId="77777777" w:rsidR="00A37447" w:rsidRPr="00552E6B" w:rsidRDefault="00A37447">
      <w:pPr>
        <w:pStyle w:val="Ttulo3"/>
        <w:pageBreakBefore/>
        <w:rPr>
          <w:lang w:val="es-PE"/>
        </w:rPr>
      </w:pPr>
      <w:bookmarkStart w:id="12" w:name="_Toc235083022"/>
      <w:r w:rsidRPr="00552E6B">
        <w:rPr>
          <w:lang w:val="es-PE"/>
        </w:rPr>
        <w:lastRenderedPageBreak/>
        <w:t>3.2.4. Transporte de gas natural</w:t>
      </w:r>
      <w:bookmarkEnd w:id="12"/>
    </w:p>
    <w:p w14:paraId="1961BA35" w14:textId="45C3C8B2" w:rsidR="00A37447" w:rsidRPr="0036111A" w:rsidRDefault="00A37447">
      <w:pPr>
        <w:keepLines/>
        <w:rPr>
          <w:lang w:val="es-PE"/>
        </w:rPr>
      </w:pPr>
      <w:r w:rsidRPr="0036111A">
        <w:rPr>
          <w:lang w:val="es-PE"/>
        </w:rPr>
        <w:t xml:space="preserve">El transporte de gas natural en el Perú se concentra en el ducto de Transportadora de Gas del Perú (TGP), que conecta los yacimientos de Camisea con la costa central a través de un ducto principal de 730 km de longitud y 920 MMpcd de capacidad, complementado por los </w:t>
      </w:r>
      <w:r w:rsidRPr="004F3DB7">
        <w:rPr>
          <w:i/>
          <w:iCs/>
          <w:lang w:val="es-PE"/>
        </w:rPr>
        <w:t>loops</w:t>
      </w:r>
      <w:r w:rsidRPr="0036111A">
        <w:rPr>
          <w:lang w:val="es-PE"/>
        </w:rPr>
        <w:t xml:space="preserve"> costa I y II, la compresora Kámani y un ducto de derivación hacia Ayacucho. A este sistema se suma el ducto de Perú LNG, que transporta gas natural desde Chiquintirca hasta la planta de licuefacción de Pampa Melchorita (408 km; 1.290 MMpcd) para su exportación. Además, un conjunto de ductos menores </w:t>
      </w:r>
      <w:r>
        <w:rPr>
          <w:lang w:val="es-PE"/>
        </w:rPr>
        <w:t>–</w:t>
      </w:r>
      <w:r w:rsidRPr="0036111A">
        <w:rPr>
          <w:lang w:val="es-PE"/>
        </w:rPr>
        <w:t>operados por Olympic Perú, PetroChina, Aguaytía Energy, Pluspetrol y BPZ</w:t>
      </w:r>
      <w:r>
        <w:rPr>
          <w:lang w:val="es-PE"/>
        </w:rPr>
        <w:t>–</w:t>
      </w:r>
      <w:r w:rsidRPr="0036111A">
        <w:rPr>
          <w:lang w:val="es-PE"/>
        </w:rPr>
        <w:t xml:space="preserve"> conecta yacimientos específicos con plantas industriales y estaciones de bombeo en distintas regiones del país. En conjunto, la infraestructura de transporte de gas natural suma 1.567 km de longitud.</w:t>
      </w:r>
    </w:p>
    <w:p w14:paraId="39188C8D" w14:textId="77777777" w:rsidR="00A37447" w:rsidRPr="00552E6B" w:rsidRDefault="00A37447">
      <w:pPr>
        <w:keepNext/>
        <w:keepLines/>
        <w:spacing w:before="160" w:after="20"/>
        <w:rPr>
          <w:lang w:val="es-PE"/>
        </w:rPr>
      </w:pPr>
      <w:r w:rsidRPr="00552E6B">
        <w:rPr>
          <w:b/>
          <w:color w:val="00838F"/>
          <w:sz w:val="20"/>
          <w:lang w:val="es-PE"/>
        </w:rPr>
        <w:t>INFRAESTRUCTURA DE TRANSPORTE DE GAS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702"/>
        <w:gridCol w:w="1701"/>
        <w:gridCol w:w="1701"/>
        <w:gridCol w:w="1701"/>
        <w:gridCol w:w="1701"/>
      </w:tblGrid>
      <w:tr w:rsidR="00855697" w14:paraId="27F934F0" w14:textId="77777777">
        <w:trPr>
          <w:cantSplit/>
          <w:tblHeader/>
        </w:trPr>
        <w:tc>
          <w:tcPr>
            <w:tcW w:w="1701" w:type="dxa"/>
            <w:shd w:val="clear" w:color="auto" w:fill="1F3864"/>
          </w:tcPr>
          <w:p w14:paraId="7DD4DC27" w14:textId="77777777" w:rsidR="00A37447" w:rsidRDefault="00A37447">
            <w:pPr>
              <w:keepNext/>
            </w:pPr>
            <w:r>
              <w:rPr>
                <w:b/>
                <w:color w:val="FFFFFF"/>
                <w:sz w:val="17"/>
              </w:rPr>
              <w:t>Empresa / ducto</w:t>
            </w:r>
          </w:p>
        </w:tc>
        <w:tc>
          <w:tcPr>
            <w:tcW w:w="1701" w:type="dxa"/>
            <w:shd w:val="clear" w:color="auto" w:fill="1F3864"/>
            <w:noWrap/>
          </w:tcPr>
          <w:p w14:paraId="6A0EC9B0" w14:textId="77777777" w:rsidR="00A37447" w:rsidRDefault="00A37447">
            <w:pPr>
              <w:keepNext/>
              <w:jc w:val="right"/>
            </w:pPr>
            <w:r>
              <w:rPr>
                <w:b/>
                <w:color w:val="FFFFFF"/>
                <w:sz w:val="17"/>
              </w:rPr>
              <w:t>Origen</w:t>
            </w:r>
          </w:p>
        </w:tc>
        <w:tc>
          <w:tcPr>
            <w:tcW w:w="1701" w:type="dxa"/>
            <w:shd w:val="clear" w:color="auto" w:fill="1F3864"/>
            <w:noWrap/>
          </w:tcPr>
          <w:p w14:paraId="545C5926" w14:textId="77777777" w:rsidR="00A37447" w:rsidRDefault="00A37447">
            <w:pPr>
              <w:keepNext/>
              <w:jc w:val="right"/>
            </w:pPr>
            <w:r>
              <w:rPr>
                <w:b/>
                <w:color w:val="FFFFFF"/>
                <w:sz w:val="17"/>
              </w:rPr>
              <w:t>Destino</w:t>
            </w:r>
          </w:p>
        </w:tc>
        <w:tc>
          <w:tcPr>
            <w:tcW w:w="1701" w:type="dxa"/>
            <w:shd w:val="clear" w:color="auto" w:fill="1F3864"/>
            <w:noWrap/>
          </w:tcPr>
          <w:p w14:paraId="75D4FC70" w14:textId="77777777" w:rsidR="00A37447" w:rsidRDefault="00A37447">
            <w:pPr>
              <w:keepNext/>
              <w:jc w:val="right"/>
            </w:pPr>
            <w:r>
              <w:rPr>
                <w:b/>
                <w:color w:val="FFFFFF"/>
                <w:sz w:val="17"/>
              </w:rPr>
              <w:t>Longitud (km)</w:t>
            </w:r>
          </w:p>
        </w:tc>
        <w:tc>
          <w:tcPr>
            <w:tcW w:w="1701" w:type="dxa"/>
            <w:shd w:val="clear" w:color="auto" w:fill="1F3864"/>
            <w:noWrap/>
          </w:tcPr>
          <w:p w14:paraId="06E55BA3" w14:textId="77777777" w:rsidR="00A37447" w:rsidRDefault="00A37447">
            <w:pPr>
              <w:keepNext/>
              <w:jc w:val="right"/>
            </w:pPr>
            <w:r>
              <w:rPr>
                <w:b/>
                <w:color w:val="FFFFFF"/>
                <w:sz w:val="17"/>
              </w:rPr>
              <w:t>Capacidad (MMpcd)</w:t>
            </w:r>
          </w:p>
        </w:tc>
      </w:tr>
      <w:tr w:rsidR="00855697" w:rsidRPr="001D477C" w14:paraId="6200A031" w14:textId="77777777">
        <w:trPr>
          <w:cantSplit/>
        </w:trPr>
        <w:tc>
          <w:tcPr>
            <w:tcW w:w="8505" w:type="dxa"/>
            <w:gridSpan w:val="5"/>
            <w:shd w:val="clear" w:color="auto" w:fill="D9E2F0"/>
          </w:tcPr>
          <w:p w14:paraId="1E70A1EC" w14:textId="77777777" w:rsidR="00A37447" w:rsidRPr="0036111A" w:rsidRDefault="00A37447">
            <w:pPr>
              <w:keepNext/>
              <w:spacing w:after="20"/>
              <w:rPr>
                <w:lang w:val="es-PE"/>
              </w:rPr>
            </w:pPr>
            <w:r w:rsidRPr="0036111A">
              <w:rPr>
                <w:b/>
                <w:sz w:val="17"/>
                <w:lang w:val="es-PE"/>
              </w:rPr>
              <w:t>Transportadora de Gas del Perú (TGP)</w:t>
            </w:r>
          </w:p>
        </w:tc>
      </w:tr>
      <w:tr w:rsidR="00855697" w14:paraId="7EEEF096" w14:textId="77777777">
        <w:trPr>
          <w:cantSplit/>
        </w:trPr>
        <w:tc>
          <w:tcPr>
            <w:tcW w:w="1701" w:type="dxa"/>
          </w:tcPr>
          <w:p w14:paraId="4D0E6040" w14:textId="77777777" w:rsidR="00A37447" w:rsidRDefault="00A37447">
            <w:pPr>
              <w:keepNext/>
              <w:spacing w:after="20"/>
            </w:pPr>
            <w:r>
              <w:rPr>
                <w:sz w:val="17"/>
              </w:rPr>
              <w:t>Ducto principal</w:t>
            </w:r>
          </w:p>
        </w:tc>
        <w:tc>
          <w:tcPr>
            <w:tcW w:w="1701" w:type="dxa"/>
            <w:noWrap/>
          </w:tcPr>
          <w:p w14:paraId="3B8F5908" w14:textId="77777777" w:rsidR="00A37447" w:rsidRDefault="00A37447">
            <w:pPr>
              <w:keepNext/>
              <w:spacing w:after="20"/>
              <w:jc w:val="right"/>
            </w:pPr>
            <w:r>
              <w:rPr>
                <w:sz w:val="16"/>
              </w:rPr>
              <w:t>Camisea</w:t>
            </w:r>
          </w:p>
        </w:tc>
        <w:tc>
          <w:tcPr>
            <w:tcW w:w="1701" w:type="dxa"/>
            <w:noWrap/>
          </w:tcPr>
          <w:p w14:paraId="05576353" w14:textId="77777777" w:rsidR="00A37447" w:rsidRDefault="00A37447">
            <w:pPr>
              <w:keepNext/>
              <w:spacing w:after="20"/>
              <w:jc w:val="right"/>
            </w:pPr>
            <w:r>
              <w:rPr>
                <w:sz w:val="16"/>
              </w:rPr>
              <w:t>City Gate Lurín</w:t>
            </w:r>
          </w:p>
        </w:tc>
        <w:tc>
          <w:tcPr>
            <w:tcW w:w="1701" w:type="dxa"/>
            <w:noWrap/>
          </w:tcPr>
          <w:p w14:paraId="048A0B59" w14:textId="77777777" w:rsidR="00A37447" w:rsidRDefault="00A37447">
            <w:pPr>
              <w:keepNext/>
              <w:spacing w:after="20"/>
              <w:jc w:val="right"/>
            </w:pPr>
            <w:r>
              <w:rPr>
                <w:sz w:val="16"/>
              </w:rPr>
              <w:t>730</w:t>
            </w:r>
          </w:p>
        </w:tc>
        <w:tc>
          <w:tcPr>
            <w:tcW w:w="1701" w:type="dxa"/>
            <w:noWrap/>
          </w:tcPr>
          <w:p w14:paraId="3EE1FE8B" w14:textId="77777777" w:rsidR="00A37447" w:rsidRDefault="00A37447">
            <w:pPr>
              <w:keepNext/>
              <w:spacing w:after="20"/>
              <w:jc w:val="right"/>
            </w:pPr>
            <w:r>
              <w:rPr>
                <w:sz w:val="16"/>
              </w:rPr>
              <w:t>920</w:t>
            </w:r>
          </w:p>
        </w:tc>
      </w:tr>
      <w:tr w:rsidR="00855697" w14:paraId="264F3CEC" w14:textId="77777777">
        <w:trPr>
          <w:cantSplit/>
        </w:trPr>
        <w:tc>
          <w:tcPr>
            <w:tcW w:w="1701" w:type="dxa"/>
          </w:tcPr>
          <w:p w14:paraId="2F909F62" w14:textId="77777777" w:rsidR="00A37447" w:rsidRDefault="00A37447">
            <w:pPr>
              <w:keepNext/>
              <w:spacing w:after="20"/>
            </w:pPr>
            <w:r w:rsidRPr="004F3DB7">
              <w:rPr>
                <w:i/>
                <w:iCs/>
                <w:sz w:val="17"/>
              </w:rPr>
              <w:t>Loop</w:t>
            </w:r>
            <w:r>
              <w:rPr>
                <w:sz w:val="17"/>
              </w:rPr>
              <w:t xml:space="preserve"> costa I</w:t>
            </w:r>
          </w:p>
        </w:tc>
        <w:tc>
          <w:tcPr>
            <w:tcW w:w="1701" w:type="dxa"/>
            <w:noWrap/>
          </w:tcPr>
          <w:p w14:paraId="5A3F33DD" w14:textId="77777777" w:rsidR="00A37447" w:rsidRDefault="00A37447">
            <w:pPr>
              <w:keepNext/>
              <w:spacing w:after="20"/>
              <w:jc w:val="right"/>
            </w:pPr>
            <w:r>
              <w:rPr>
                <w:sz w:val="16"/>
              </w:rPr>
              <w:t>Pampa Melchorita</w:t>
            </w:r>
          </w:p>
        </w:tc>
        <w:tc>
          <w:tcPr>
            <w:tcW w:w="1701" w:type="dxa"/>
            <w:noWrap/>
          </w:tcPr>
          <w:p w14:paraId="45B58724" w14:textId="77777777" w:rsidR="00A37447" w:rsidRDefault="00A37447">
            <w:pPr>
              <w:keepNext/>
              <w:spacing w:after="20"/>
              <w:jc w:val="right"/>
            </w:pPr>
            <w:r>
              <w:rPr>
                <w:sz w:val="16"/>
              </w:rPr>
              <w:t>Chilca</w:t>
            </w:r>
          </w:p>
        </w:tc>
        <w:tc>
          <w:tcPr>
            <w:tcW w:w="1701" w:type="dxa"/>
            <w:noWrap/>
          </w:tcPr>
          <w:p w14:paraId="600E5275" w14:textId="77777777" w:rsidR="00A37447" w:rsidRDefault="00A37447">
            <w:pPr>
              <w:keepNext/>
              <w:spacing w:after="20"/>
              <w:jc w:val="right"/>
            </w:pPr>
            <w:r>
              <w:rPr>
                <w:sz w:val="16"/>
              </w:rPr>
              <w:t>105</w:t>
            </w:r>
          </w:p>
        </w:tc>
        <w:tc>
          <w:tcPr>
            <w:tcW w:w="1701" w:type="dxa"/>
            <w:noWrap/>
          </w:tcPr>
          <w:p w14:paraId="207E3F4D" w14:textId="77777777" w:rsidR="00A37447" w:rsidRDefault="00A37447">
            <w:pPr>
              <w:keepNext/>
              <w:spacing w:after="20"/>
              <w:jc w:val="right"/>
            </w:pPr>
            <w:r>
              <w:rPr>
                <w:sz w:val="16"/>
              </w:rPr>
              <w:t>n. a.</w:t>
            </w:r>
          </w:p>
        </w:tc>
      </w:tr>
      <w:tr w:rsidR="00855697" w14:paraId="6679BE0A" w14:textId="77777777">
        <w:trPr>
          <w:cantSplit/>
        </w:trPr>
        <w:tc>
          <w:tcPr>
            <w:tcW w:w="1701" w:type="dxa"/>
          </w:tcPr>
          <w:p w14:paraId="48E0FC4E" w14:textId="77777777" w:rsidR="00A37447" w:rsidRDefault="00A37447">
            <w:pPr>
              <w:keepNext/>
              <w:spacing w:after="20"/>
            </w:pPr>
            <w:r w:rsidRPr="004F3DB7">
              <w:rPr>
                <w:i/>
                <w:iCs/>
                <w:sz w:val="17"/>
              </w:rPr>
              <w:t xml:space="preserve">Loop </w:t>
            </w:r>
            <w:r>
              <w:rPr>
                <w:sz w:val="17"/>
              </w:rPr>
              <w:t>costa II</w:t>
            </w:r>
          </w:p>
        </w:tc>
        <w:tc>
          <w:tcPr>
            <w:tcW w:w="1701" w:type="dxa"/>
            <w:noWrap/>
          </w:tcPr>
          <w:p w14:paraId="7A3C1C9E" w14:textId="77777777" w:rsidR="00A37447" w:rsidRDefault="00A37447">
            <w:pPr>
              <w:keepNext/>
              <w:spacing w:after="20"/>
              <w:jc w:val="right"/>
            </w:pPr>
            <w:r>
              <w:rPr>
                <w:sz w:val="16"/>
              </w:rPr>
              <w:t>Chilca</w:t>
            </w:r>
          </w:p>
        </w:tc>
        <w:tc>
          <w:tcPr>
            <w:tcW w:w="1701" w:type="dxa"/>
            <w:noWrap/>
          </w:tcPr>
          <w:p w14:paraId="6F22C2E5" w14:textId="77777777" w:rsidR="00A37447" w:rsidRDefault="00A37447">
            <w:pPr>
              <w:keepNext/>
              <w:spacing w:after="20"/>
              <w:jc w:val="right"/>
            </w:pPr>
            <w:r>
              <w:rPr>
                <w:sz w:val="16"/>
              </w:rPr>
              <w:t>City Gate Lurín</w:t>
            </w:r>
          </w:p>
        </w:tc>
        <w:tc>
          <w:tcPr>
            <w:tcW w:w="1701" w:type="dxa"/>
            <w:noWrap/>
          </w:tcPr>
          <w:p w14:paraId="239BC1CE" w14:textId="77777777" w:rsidR="00A37447" w:rsidRDefault="00A37447">
            <w:pPr>
              <w:keepNext/>
              <w:spacing w:after="20"/>
              <w:jc w:val="right"/>
            </w:pPr>
            <w:r>
              <w:rPr>
                <w:sz w:val="16"/>
              </w:rPr>
              <w:t>31</w:t>
            </w:r>
          </w:p>
        </w:tc>
        <w:tc>
          <w:tcPr>
            <w:tcW w:w="1701" w:type="dxa"/>
            <w:noWrap/>
          </w:tcPr>
          <w:p w14:paraId="2966C3FE" w14:textId="77777777" w:rsidR="00A37447" w:rsidRDefault="00A37447">
            <w:pPr>
              <w:keepNext/>
              <w:spacing w:after="20"/>
              <w:jc w:val="right"/>
            </w:pPr>
            <w:r>
              <w:rPr>
                <w:sz w:val="16"/>
              </w:rPr>
              <w:t>n. a.</w:t>
            </w:r>
          </w:p>
        </w:tc>
      </w:tr>
      <w:tr w:rsidR="00855697" w14:paraId="54626D7C" w14:textId="77777777">
        <w:trPr>
          <w:cantSplit/>
        </w:trPr>
        <w:tc>
          <w:tcPr>
            <w:tcW w:w="1701" w:type="dxa"/>
          </w:tcPr>
          <w:p w14:paraId="677C6C82" w14:textId="77777777" w:rsidR="00A37447" w:rsidRDefault="00A37447">
            <w:pPr>
              <w:keepNext/>
              <w:spacing w:after="20"/>
            </w:pPr>
            <w:r>
              <w:rPr>
                <w:sz w:val="17"/>
              </w:rPr>
              <w:t>Compresora Kámani</w:t>
            </w:r>
          </w:p>
        </w:tc>
        <w:tc>
          <w:tcPr>
            <w:tcW w:w="1701" w:type="dxa"/>
            <w:noWrap/>
          </w:tcPr>
          <w:p w14:paraId="2B5BA021" w14:textId="77777777" w:rsidR="00A37447" w:rsidRDefault="00A37447">
            <w:pPr>
              <w:keepNext/>
              <w:spacing w:after="20"/>
              <w:jc w:val="right"/>
            </w:pPr>
            <w:r>
              <w:rPr>
                <w:sz w:val="16"/>
              </w:rPr>
              <w:t>Camisea - Lima KP 127¹</w:t>
            </w:r>
          </w:p>
        </w:tc>
        <w:tc>
          <w:tcPr>
            <w:tcW w:w="1701" w:type="dxa"/>
            <w:noWrap/>
          </w:tcPr>
          <w:p w14:paraId="751AD0DA" w14:textId="77777777" w:rsidR="00A37447" w:rsidRPr="00786EA0" w:rsidRDefault="00A37447">
            <w:pPr>
              <w:keepNext/>
              <w:spacing w:after="20"/>
              <w:jc w:val="right"/>
              <w:rPr>
                <w:sz w:val="16"/>
                <w:szCs w:val="16"/>
              </w:rPr>
            </w:pPr>
            <w:r w:rsidRPr="00786EA0">
              <w:rPr>
                <w:sz w:val="16"/>
                <w:szCs w:val="16"/>
              </w:rPr>
              <w:t>n.</w:t>
            </w:r>
            <w:r>
              <w:rPr>
                <w:sz w:val="16"/>
                <w:szCs w:val="16"/>
              </w:rPr>
              <w:t xml:space="preserve"> </w:t>
            </w:r>
            <w:r w:rsidRPr="00786EA0">
              <w:rPr>
                <w:sz w:val="16"/>
                <w:szCs w:val="16"/>
              </w:rPr>
              <w:t>a.</w:t>
            </w:r>
          </w:p>
        </w:tc>
        <w:tc>
          <w:tcPr>
            <w:tcW w:w="1701" w:type="dxa"/>
            <w:noWrap/>
          </w:tcPr>
          <w:p w14:paraId="20CB243F" w14:textId="77777777" w:rsidR="00A37447" w:rsidRDefault="00A37447">
            <w:pPr>
              <w:keepNext/>
              <w:spacing w:after="20"/>
              <w:jc w:val="right"/>
            </w:pPr>
            <w:r>
              <w:rPr>
                <w:sz w:val="16"/>
              </w:rPr>
              <w:t>n. a.</w:t>
            </w:r>
          </w:p>
        </w:tc>
        <w:tc>
          <w:tcPr>
            <w:tcW w:w="1701" w:type="dxa"/>
            <w:noWrap/>
          </w:tcPr>
          <w:p w14:paraId="2C3A51D7" w14:textId="77777777" w:rsidR="00A37447" w:rsidRDefault="00A37447">
            <w:pPr>
              <w:keepNext/>
              <w:spacing w:after="20"/>
              <w:jc w:val="right"/>
            </w:pPr>
            <w:r>
              <w:rPr>
                <w:sz w:val="16"/>
              </w:rPr>
              <w:t>n. a.</w:t>
            </w:r>
          </w:p>
        </w:tc>
      </w:tr>
      <w:tr w:rsidR="00855697" w14:paraId="366D29E4" w14:textId="77777777">
        <w:trPr>
          <w:cantSplit/>
        </w:trPr>
        <w:tc>
          <w:tcPr>
            <w:tcW w:w="1701" w:type="dxa"/>
          </w:tcPr>
          <w:p w14:paraId="5F0F19B8" w14:textId="77777777" w:rsidR="00A37447" w:rsidRDefault="00A37447">
            <w:pPr>
              <w:keepNext/>
              <w:spacing w:after="20"/>
            </w:pPr>
            <w:r>
              <w:rPr>
                <w:sz w:val="17"/>
              </w:rPr>
              <w:t>Ducto de derivación</w:t>
            </w:r>
          </w:p>
        </w:tc>
        <w:tc>
          <w:tcPr>
            <w:tcW w:w="1701" w:type="dxa"/>
            <w:noWrap/>
          </w:tcPr>
          <w:p w14:paraId="615A825B" w14:textId="77777777" w:rsidR="00A37447" w:rsidRDefault="00A37447">
            <w:pPr>
              <w:keepNext/>
              <w:spacing w:after="20"/>
              <w:jc w:val="right"/>
            </w:pPr>
            <w:r>
              <w:rPr>
                <w:sz w:val="16"/>
              </w:rPr>
              <w:t>Camisea - Lima KP 277²</w:t>
            </w:r>
          </w:p>
        </w:tc>
        <w:tc>
          <w:tcPr>
            <w:tcW w:w="1701" w:type="dxa"/>
            <w:noWrap/>
          </w:tcPr>
          <w:p w14:paraId="6847C714" w14:textId="77777777" w:rsidR="00A37447" w:rsidRDefault="00A37447">
            <w:pPr>
              <w:keepNext/>
              <w:spacing w:after="20"/>
              <w:jc w:val="right"/>
            </w:pPr>
            <w:r>
              <w:rPr>
                <w:sz w:val="16"/>
              </w:rPr>
              <w:t>Ayacucho</w:t>
            </w:r>
          </w:p>
        </w:tc>
        <w:tc>
          <w:tcPr>
            <w:tcW w:w="1701" w:type="dxa"/>
            <w:noWrap/>
          </w:tcPr>
          <w:p w14:paraId="24AD4B4B" w14:textId="77777777" w:rsidR="00A37447" w:rsidRDefault="00A37447">
            <w:pPr>
              <w:keepNext/>
              <w:spacing w:after="20"/>
              <w:jc w:val="right"/>
            </w:pPr>
            <w:r>
              <w:rPr>
                <w:sz w:val="16"/>
              </w:rPr>
              <w:t>18</w:t>
            </w:r>
          </w:p>
        </w:tc>
        <w:tc>
          <w:tcPr>
            <w:tcW w:w="1701" w:type="dxa"/>
            <w:noWrap/>
          </w:tcPr>
          <w:p w14:paraId="272E4DD8" w14:textId="77777777" w:rsidR="00A37447" w:rsidRDefault="00A37447">
            <w:pPr>
              <w:keepNext/>
              <w:spacing w:after="20"/>
              <w:jc w:val="right"/>
            </w:pPr>
            <w:r>
              <w:rPr>
                <w:sz w:val="16"/>
              </w:rPr>
              <w:t>n. a.</w:t>
            </w:r>
          </w:p>
        </w:tc>
      </w:tr>
      <w:tr w:rsidR="00855697" w14:paraId="2D91B9AC" w14:textId="77777777">
        <w:trPr>
          <w:cantSplit/>
        </w:trPr>
        <w:tc>
          <w:tcPr>
            <w:tcW w:w="1701" w:type="dxa"/>
          </w:tcPr>
          <w:p w14:paraId="14ECE22D" w14:textId="77777777" w:rsidR="00A37447" w:rsidRDefault="00A37447">
            <w:pPr>
              <w:keepNext/>
              <w:spacing w:after="20"/>
            </w:pPr>
            <w:r>
              <w:rPr>
                <w:sz w:val="17"/>
              </w:rPr>
              <w:t>Perú LNG</w:t>
            </w:r>
          </w:p>
        </w:tc>
        <w:tc>
          <w:tcPr>
            <w:tcW w:w="1701" w:type="dxa"/>
            <w:noWrap/>
          </w:tcPr>
          <w:p w14:paraId="5EADA3B9" w14:textId="77777777" w:rsidR="00A37447" w:rsidRDefault="00A37447">
            <w:pPr>
              <w:keepNext/>
              <w:spacing w:after="20"/>
              <w:jc w:val="right"/>
            </w:pPr>
            <w:r>
              <w:rPr>
                <w:sz w:val="16"/>
              </w:rPr>
              <w:t>Chiquintirca</w:t>
            </w:r>
          </w:p>
        </w:tc>
        <w:tc>
          <w:tcPr>
            <w:tcW w:w="1701" w:type="dxa"/>
            <w:noWrap/>
          </w:tcPr>
          <w:p w14:paraId="466EE612" w14:textId="77777777" w:rsidR="00A37447" w:rsidRDefault="00A37447">
            <w:pPr>
              <w:keepNext/>
              <w:spacing w:after="20"/>
              <w:jc w:val="right"/>
            </w:pPr>
            <w:r>
              <w:rPr>
                <w:sz w:val="16"/>
              </w:rPr>
              <w:t>Pampa Melchorita</w:t>
            </w:r>
          </w:p>
        </w:tc>
        <w:tc>
          <w:tcPr>
            <w:tcW w:w="1701" w:type="dxa"/>
            <w:noWrap/>
          </w:tcPr>
          <w:p w14:paraId="277D0FAA" w14:textId="77777777" w:rsidR="00A37447" w:rsidRDefault="00A37447">
            <w:pPr>
              <w:keepNext/>
              <w:spacing w:after="20"/>
              <w:jc w:val="right"/>
            </w:pPr>
            <w:r>
              <w:rPr>
                <w:sz w:val="16"/>
              </w:rPr>
              <w:t>408</w:t>
            </w:r>
          </w:p>
        </w:tc>
        <w:tc>
          <w:tcPr>
            <w:tcW w:w="1701" w:type="dxa"/>
            <w:noWrap/>
          </w:tcPr>
          <w:p w14:paraId="03CEBF68" w14:textId="77777777" w:rsidR="00A37447" w:rsidRDefault="00A37447">
            <w:pPr>
              <w:keepNext/>
              <w:spacing w:after="20"/>
              <w:jc w:val="right"/>
            </w:pPr>
            <w:r>
              <w:rPr>
                <w:sz w:val="16"/>
              </w:rPr>
              <w:t>1.290</w:t>
            </w:r>
          </w:p>
        </w:tc>
      </w:tr>
      <w:tr w:rsidR="00855697" w14:paraId="13DB9120" w14:textId="77777777">
        <w:trPr>
          <w:cantSplit/>
        </w:trPr>
        <w:tc>
          <w:tcPr>
            <w:tcW w:w="8505" w:type="dxa"/>
            <w:gridSpan w:val="5"/>
            <w:shd w:val="clear" w:color="auto" w:fill="D9E2F0"/>
          </w:tcPr>
          <w:p w14:paraId="4A8CBA80" w14:textId="77777777" w:rsidR="00A37447" w:rsidRDefault="00A37447">
            <w:pPr>
              <w:keepNext/>
              <w:spacing w:after="20"/>
            </w:pPr>
            <w:r>
              <w:rPr>
                <w:b/>
                <w:sz w:val="17"/>
              </w:rPr>
              <w:t>Otros ductos</w:t>
            </w:r>
          </w:p>
        </w:tc>
      </w:tr>
      <w:tr w:rsidR="00855697" w14:paraId="582FC181" w14:textId="77777777">
        <w:trPr>
          <w:cantSplit/>
        </w:trPr>
        <w:tc>
          <w:tcPr>
            <w:tcW w:w="1701" w:type="dxa"/>
          </w:tcPr>
          <w:p w14:paraId="695B3D2F" w14:textId="77777777" w:rsidR="00A37447" w:rsidRDefault="00A37447">
            <w:pPr>
              <w:keepNext/>
              <w:spacing w:after="20"/>
            </w:pPr>
            <w:r>
              <w:rPr>
                <w:sz w:val="17"/>
              </w:rPr>
              <w:t>Olympic Perú Inc.</w:t>
            </w:r>
          </w:p>
        </w:tc>
        <w:tc>
          <w:tcPr>
            <w:tcW w:w="1701" w:type="dxa"/>
            <w:noWrap/>
          </w:tcPr>
          <w:p w14:paraId="6C4715A1" w14:textId="77777777" w:rsidR="00A37447" w:rsidRDefault="00A37447">
            <w:pPr>
              <w:keepNext/>
              <w:spacing w:after="20"/>
              <w:jc w:val="right"/>
            </w:pPr>
            <w:r>
              <w:rPr>
                <w:sz w:val="16"/>
              </w:rPr>
              <w:t>Estación La Casita</w:t>
            </w:r>
          </w:p>
        </w:tc>
        <w:tc>
          <w:tcPr>
            <w:tcW w:w="1701" w:type="dxa"/>
            <w:noWrap/>
          </w:tcPr>
          <w:p w14:paraId="7E15AE5B" w14:textId="77777777" w:rsidR="00A37447" w:rsidRDefault="00A37447">
            <w:pPr>
              <w:keepNext/>
              <w:spacing w:after="20"/>
              <w:jc w:val="right"/>
            </w:pPr>
            <w:r>
              <w:rPr>
                <w:sz w:val="16"/>
              </w:rPr>
              <w:t>Estación Olympic</w:t>
            </w:r>
          </w:p>
        </w:tc>
        <w:tc>
          <w:tcPr>
            <w:tcW w:w="1701" w:type="dxa"/>
            <w:noWrap/>
          </w:tcPr>
          <w:p w14:paraId="20CED66A" w14:textId="77777777" w:rsidR="00A37447" w:rsidRDefault="00A37447">
            <w:pPr>
              <w:keepNext/>
              <w:spacing w:after="20"/>
              <w:jc w:val="right"/>
            </w:pPr>
            <w:r>
              <w:rPr>
                <w:sz w:val="16"/>
              </w:rPr>
              <w:t>33</w:t>
            </w:r>
          </w:p>
        </w:tc>
        <w:tc>
          <w:tcPr>
            <w:tcW w:w="1701" w:type="dxa"/>
            <w:noWrap/>
          </w:tcPr>
          <w:p w14:paraId="3A047600" w14:textId="77777777" w:rsidR="00A37447" w:rsidRDefault="00A37447">
            <w:pPr>
              <w:keepNext/>
              <w:spacing w:after="20"/>
              <w:jc w:val="right"/>
            </w:pPr>
            <w:r>
              <w:rPr>
                <w:sz w:val="16"/>
              </w:rPr>
              <w:t>11</w:t>
            </w:r>
          </w:p>
        </w:tc>
      </w:tr>
      <w:tr w:rsidR="00855697" w14:paraId="6A02802A" w14:textId="77777777">
        <w:trPr>
          <w:cantSplit/>
        </w:trPr>
        <w:tc>
          <w:tcPr>
            <w:tcW w:w="1701" w:type="dxa"/>
            <w:noWrap/>
          </w:tcPr>
          <w:p w14:paraId="3B1F5418" w14:textId="77777777" w:rsidR="00A37447" w:rsidRDefault="00A37447">
            <w:pPr>
              <w:keepNext/>
              <w:spacing w:after="20"/>
            </w:pPr>
            <w:r>
              <w:rPr>
                <w:sz w:val="17"/>
              </w:rPr>
              <w:t>PetroChina</w:t>
            </w:r>
          </w:p>
        </w:tc>
        <w:tc>
          <w:tcPr>
            <w:tcW w:w="1701" w:type="dxa"/>
            <w:noWrap/>
          </w:tcPr>
          <w:p w14:paraId="3BE9FB94" w14:textId="77777777" w:rsidR="00A37447" w:rsidRDefault="00A37447">
            <w:pPr>
              <w:keepNext/>
              <w:spacing w:after="20"/>
              <w:jc w:val="right"/>
            </w:pPr>
            <w:r>
              <w:rPr>
                <w:sz w:val="16"/>
              </w:rPr>
              <w:t>Cuenca de Talara</w:t>
            </w:r>
          </w:p>
        </w:tc>
        <w:tc>
          <w:tcPr>
            <w:tcW w:w="1701" w:type="dxa"/>
            <w:noWrap/>
          </w:tcPr>
          <w:p w14:paraId="1A6534F5" w14:textId="77777777" w:rsidR="00A37447" w:rsidRDefault="00A37447">
            <w:pPr>
              <w:keepNext/>
              <w:spacing w:after="20"/>
              <w:jc w:val="right"/>
            </w:pPr>
            <w:r>
              <w:rPr>
                <w:sz w:val="16"/>
              </w:rPr>
              <w:t>Termoeléctrica Malacas</w:t>
            </w:r>
          </w:p>
        </w:tc>
        <w:tc>
          <w:tcPr>
            <w:tcW w:w="1701" w:type="dxa"/>
            <w:noWrap/>
          </w:tcPr>
          <w:p w14:paraId="37AD6CD4" w14:textId="77777777" w:rsidR="00A37447" w:rsidRDefault="00A37447">
            <w:pPr>
              <w:keepNext/>
              <w:spacing w:after="20"/>
              <w:jc w:val="right"/>
            </w:pPr>
            <w:r>
              <w:rPr>
                <w:sz w:val="16"/>
              </w:rPr>
              <w:t>n. d.</w:t>
            </w:r>
          </w:p>
        </w:tc>
        <w:tc>
          <w:tcPr>
            <w:tcW w:w="1701" w:type="dxa"/>
            <w:noWrap/>
          </w:tcPr>
          <w:p w14:paraId="1334C1FB" w14:textId="77777777" w:rsidR="00A37447" w:rsidRDefault="00A37447">
            <w:pPr>
              <w:keepNext/>
              <w:spacing w:after="20"/>
              <w:jc w:val="right"/>
            </w:pPr>
            <w:r>
              <w:rPr>
                <w:sz w:val="16"/>
              </w:rPr>
              <w:t>n. d.</w:t>
            </w:r>
          </w:p>
        </w:tc>
      </w:tr>
      <w:tr w:rsidR="00855697" w14:paraId="64FB73F9" w14:textId="77777777">
        <w:trPr>
          <w:cantSplit/>
        </w:trPr>
        <w:tc>
          <w:tcPr>
            <w:tcW w:w="1701" w:type="dxa"/>
          </w:tcPr>
          <w:p w14:paraId="7CFBBE1F" w14:textId="77777777" w:rsidR="00A37447" w:rsidRDefault="00A37447">
            <w:pPr>
              <w:keepNext/>
              <w:spacing w:after="20"/>
            </w:pPr>
            <w:r>
              <w:rPr>
                <w:sz w:val="17"/>
              </w:rPr>
              <w:t>Perú LNG</w:t>
            </w:r>
          </w:p>
        </w:tc>
        <w:tc>
          <w:tcPr>
            <w:tcW w:w="1701" w:type="dxa"/>
            <w:noWrap/>
          </w:tcPr>
          <w:p w14:paraId="60B9968F" w14:textId="77777777" w:rsidR="00A37447" w:rsidRDefault="00A37447">
            <w:pPr>
              <w:keepNext/>
              <w:spacing w:after="20"/>
              <w:jc w:val="right"/>
            </w:pPr>
            <w:r>
              <w:rPr>
                <w:sz w:val="16"/>
              </w:rPr>
              <w:t>Pampa Melchorita</w:t>
            </w:r>
          </w:p>
        </w:tc>
        <w:tc>
          <w:tcPr>
            <w:tcW w:w="1701" w:type="dxa"/>
            <w:noWrap/>
          </w:tcPr>
          <w:p w14:paraId="4AD1C9FC" w14:textId="77777777" w:rsidR="00A37447" w:rsidRDefault="00A37447">
            <w:pPr>
              <w:keepNext/>
              <w:spacing w:after="20"/>
              <w:jc w:val="right"/>
            </w:pPr>
            <w:r>
              <w:rPr>
                <w:sz w:val="16"/>
              </w:rPr>
              <w:t>Pampa Melchorita</w:t>
            </w:r>
          </w:p>
        </w:tc>
        <w:tc>
          <w:tcPr>
            <w:tcW w:w="1701" w:type="dxa"/>
            <w:noWrap/>
          </w:tcPr>
          <w:p w14:paraId="6D3EA0CF" w14:textId="77777777" w:rsidR="00A37447" w:rsidRDefault="00A37447">
            <w:pPr>
              <w:keepNext/>
              <w:spacing w:after="20"/>
              <w:jc w:val="right"/>
            </w:pPr>
            <w:r>
              <w:rPr>
                <w:sz w:val="16"/>
              </w:rPr>
              <w:t>1,4</w:t>
            </w:r>
          </w:p>
        </w:tc>
        <w:tc>
          <w:tcPr>
            <w:tcW w:w="1701" w:type="dxa"/>
            <w:noWrap/>
          </w:tcPr>
          <w:p w14:paraId="16AC245B" w14:textId="77777777" w:rsidR="00A37447" w:rsidRDefault="00A37447">
            <w:pPr>
              <w:keepNext/>
              <w:spacing w:after="20"/>
              <w:jc w:val="right"/>
            </w:pPr>
            <w:r>
              <w:rPr>
                <w:sz w:val="16"/>
              </w:rPr>
              <w:t>n. d.</w:t>
            </w:r>
          </w:p>
        </w:tc>
      </w:tr>
      <w:tr w:rsidR="00855697" w14:paraId="68535315" w14:textId="77777777">
        <w:trPr>
          <w:cantSplit/>
        </w:trPr>
        <w:tc>
          <w:tcPr>
            <w:tcW w:w="1701" w:type="dxa"/>
          </w:tcPr>
          <w:p w14:paraId="1D9D0B26" w14:textId="77777777" w:rsidR="00A37447" w:rsidRDefault="00A37447">
            <w:pPr>
              <w:keepNext/>
              <w:spacing w:after="20"/>
            </w:pPr>
            <w:r>
              <w:rPr>
                <w:sz w:val="17"/>
              </w:rPr>
              <w:t>Aguaytía Energy</w:t>
            </w:r>
          </w:p>
        </w:tc>
        <w:tc>
          <w:tcPr>
            <w:tcW w:w="1701" w:type="dxa"/>
            <w:noWrap/>
          </w:tcPr>
          <w:p w14:paraId="2CC175AA" w14:textId="77777777" w:rsidR="00A37447" w:rsidRDefault="00A37447">
            <w:pPr>
              <w:keepNext/>
              <w:spacing w:after="20"/>
              <w:jc w:val="right"/>
            </w:pPr>
            <w:r>
              <w:rPr>
                <w:sz w:val="16"/>
              </w:rPr>
              <w:t>Curimaná</w:t>
            </w:r>
          </w:p>
        </w:tc>
        <w:tc>
          <w:tcPr>
            <w:tcW w:w="1701" w:type="dxa"/>
            <w:noWrap/>
          </w:tcPr>
          <w:p w14:paraId="14CBD1D4" w14:textId="77777777" w:rsidR="00A37447" w:rsidRDefault="00A37447">
            <w:pPr>
              <w:keepNext/>
              <w:spacing w:after="20"/>
              <w:jc w:val="right"/>
            </w:pPr>
            <w:r>
              <w:rPr>
                <w:sz w:val="16"/>
              </w:rPr>
              <w:t>Padre Abad y Pucallpa</w:t>
            </w:r>
          </w:p>
        </w:tc>
        <w:tc>
          <w:tcPr>
            <w:tcW w:w="1701" w:type="dxa"/>
            <w:noWrap/>
          </w:tcPr>
          <w:p w14:paraId="6A3D6809" w14:textId="77777777" w:rsidR="00A37447" w:rsidRDefault="00A37447">
            <w:pPr>
              <w:keepNext/>
              <w:spacing w:after="20"/>
              <w:jc w:val="right"/>
            </w:pPr>
            <w:r>
              <w:rPr>
                <w:sz w:val="16"/>
              </w:rPr>
              <w:t>174</w:t>
            </w:r>
          </w:p>
        </w:tc>
        <w:tc>
          <w:tcPr>
            <w:tcW w:w="1701" w:type="dxa"/>
            <w:noWrap/>
          </w:tcPr>
          <w:p w14:paraId="50CD200C" w14:textId="77777777" w:rsidR="00A37447" w:rsidRDefault="00A37447">
            <w:pPr>
              <w:keepNext/>
              <w:spacing w:after="20"/>
              <w:jc w:val="right"/>
            </w:pPr>
            <w:r>
              <w:rPr>
                <w:sz w:val="16"/>
              </w:rPr>
              <w:t>55</w:t>
            </w:r>
          </w:p>
        </w:tc>
      </w:tr>
      <w:tr w:rsidR="00855697" w14:paraId="536E6DCB" w14:textId="77777777">
        <w:trPr>
          <w:cantSplit/>
        </w:trPr>
        <w:tc>
          <w:tcPr>
            <w:tcW w:w="1701" w:type="dxa"/>
            <w:noWrap/>
          </w:tcPr>
          <w:p w14:paraId="5FA74DF4" w14:textId="77777777" w:rsidR="00A37447" w:rsidRDefault="00A37447">
            <w:pPr>
              <w:keepNext/>
              <w:spacing w:after="20"/>
            </w:pPr>
            <w:r>
              <w:rPr>
                <w:sz w:val="17"/>
              </w:rPr>
              <w:t>Pluspetrol</w:t>
            </w:r>
          </w:p>
        </w:tc>
        <w:tc>
          <w:tcPr>
            <w:tcW w:w="1701" w:type="dxa"/>
            <w:noWrap/>
          </w:tcPr>
          <w:p w14:paraId="3066771D" w14:textId="77777777" w:rsidR="00A37447" w:rsidRDefault="00A37447">
            <w:pPr>
              <w:keepNext/>
              <w:spacing w:after="20"/>
              <w:jc w:val="right"/>
            </w:pPr>
            <w:r>
              <w:rPr>
                <w:sz w:val="16"/>
              </w:rPr>
              <w:t>Humay</w:t>
            </w:r>
          </w:p>
        </w:tc>
        <w:tc>
          <w:tcPr>
            <w:tcW w:w="1701" w:type="dxa"/>
            <w:noWrap/>
          </w:tcPr>
          <w:p w14:paraId="65F45578" w14:textId="77777777" w:rsidR="00A37447" w:rsidRDefault="00A37447">
            <w:pPr>
              <w:keepNext/>
              <w:spacing w:after="20"/>
              <w:jc w:val="right"/>
            </w:pPr>
            <w:r>
              <w:rPr>
                <w:sz w:val="16"/>
              </w:rPr>
              <w:t>Pisco</w:t>
            </w:r>
          </w:p>
        </w:tc>
        <w:tc>
          <w:tcPr>
            <w:tcW w:w="1701" w:type="dxa"/>
            <w:noWrap/>
          </w:tcPr>
          <w:p w14:paraId="697FD6CD" w14:textId="77777777" w:rsidR="00A37447" w:rsidRDefault="00A37447">
            <w:pPr>
              <w:keepNext/>
              <w:spacing w:after="20"/>
              <w:jc w:val="right"/>
            </w:pPr>
            <w:r>
              <w:rPr>
                <w:sz w:val="16"/>
              </w:rPr>
              <w:t>40</w:t>
            </w:r>
          </w:p>
        </w:tc>
        <w:tc>
          <w:tcPr>
            <w:tcW w:w="1701" w:type="dxa"/>
            <w:noWrap/>
          </w:tcPr>
          <w:p w14:paraId="68605A20" w14:textId="77777777" w:rsidR="00A37447" w:rsidRDefault="00A37447">
            <w:pPr>
              <w:keepNext/>
              <w:spacing w:after="20"/>
              <w:jc w:val="right"/>
            </w:pPr>
            <w:r>
              <w:rPr>
                <w:sz w:val="16"/>
              </w:rPr>
              <w:t>35</w:t>
            </w:r>
          </w:p>
        </w:tc>
      </w:tr>
      <w:tr w:rsidR="00855697" w14:paraId="03A4F0E6" w14:textId="77777777">
        <w:trPr>
          <w:cantSplit/>
        </w:trPr>
        <w:tc>
          <w:tcPr>
            <w:tcW w:w="1701" w:type="dxa"/>
            <w:noWrap/>
          </w:tcPr>
          <w:p w14:paraId="4E76DB5D" w14:textId="77777777" w:rsidR="00A37447" w:rsidRDefault="00A37447">
            <w:pPr>
              <w:keepNext/>
              <w:spacing w:after="20"/>
            </w:pPr>
            <w:r>
              <w:rPr>
                <w:sz w:val="17"/>
              </w:rPr>
              <w:t>BPZ</w:t>
            </w:r>
          </w:p>
        </w:tc>
        <w:tc>
          <w:tcPr>
            <w:tcW w:w="1701" w:type="dxa"/>
            <w:noWrap/>
          </w:tcPr>
          <w:p w14:paraId="40CA57BA" w14:textId="77777777" w:rsidR="00A37447" w:rsidRDefault="00A37447">
            <w:pPr>
              <w:keepNext/>
              <w:spacing w:after="20"/>
              <w:jc w:val="right"/>
            </w:pPr>
            <w:r>
              <w:rPr>
                <w:sz w:val="16"/>
              </w:rPr>
              <w:t>Pariñas</w:t>
            </w:r>
          </w:p>
        </w:tc>
        <w:tc>
          <w:tcPr>
            <w:tcW w:w="1701" w:type="dxa"/>
            <w:noWrap/>
          </w:tcPr>
          <w:p w14:paraId="2D94455A" w14:textId="77777777" w:rsidR="00A37447" w:rsidRDefault="00A37447">
            <w:pPr>
              <w:keepNext/>
              <w:spacing w:after="20"/>
              <w:jc w:val="right"/>
            </w:pPr>
            <w:r>
              <w:rPr>
                <w:sz w:val="16"/>
              </w:rPr>
              <w:t>Peña Negra (Talara)</w:t>
            </w:r>
          </w:p>
        </w:tc>
        <w:tc>
          <w:tcPr>
            <w:tcW w:w="1701" w:type="dxa"/>
            <w:noWrap/>
          </w:tcPr>
          <w:p w14:paraId="2C354BD0" w14:textId="77777777" w:rsidR="00A37447" w:rsidRDefault="00A37447">
            <w:pPr>
              <w:keepNext/>
              <w:spacing w:after="20"/>
              <w:jc w:val="right"/>
            </w:pPr>
            <w:r>
              <w:rPr>
                <w:sz w:val="16"/>
              </w:rPr>
              <w:t>27</w:t>
            </w:r>
          </w:p>
        </w:tc>
        <w:tc>
          <w:tcPr>
            <w:tcW w:w="1701" w:type="dxa"/>
            <w:noWrap/>
          </w:tcPr>
          <w:p w14:paraId="13AA344C" w14:textId="77777777" w:rsidR="00A37447" w:rsidRDefault="00A37447">
            <w:pPr>
              <w:keepNext/>
              <w:spacing w:after="20"/>
              <w:jc w:val="right"/>
            </w:pPr>
            <w:r>
              <w:rPr>
                <w:sz w:val="16"/>
              </w:rPr>
              <w:t>n. d.</w:t>
            </w:r>
          </w:p>
        </w:tc>
      </w:tr>
      <w:tr w:rsidR="00855697" w14:paraId="2A59588A" w14:textId="77777777">
        <w:trPr>
          <w:cantSplit/>
        </w:trPr>
        <w:tc>
          <w:tcPr>
            <w:tcW w:w="1701" w:type="dxa"/>
            <w:noWrap/>
          </w:tcPr>
          <w:p w14:paraId="69BA5E40" w14:textId="77777777" w:rsidR="00A37447" w:rsidRDefault="00A37447">
            <w:pPr>
              <w:keepNext/>
              <w:spacing w:after="20"/>
            </w:pPr>
            <w:r>
              <w:rPr>
                <w:b/>
                <w:sz w:val="17"/>
              </w:rPr>
              <w:t>TOTAL</w:t>
            </w:r>
          </w:p>
        </w:tc>
        <w:tc>
          <w:tcPr>
            <w:tcW w:w="1701" w:type="dxa"/>
            <w:noWrap/>
          </w:tcPr>
          <w:p w14:paraId="2DBEAE05" w14:textId="77777777" w:rsidR="00A37447" w:rsidRDefault="00A37447">
            <w:pPr>
              <w:keepNext/>
              <w:spacing w:after="20"/>
              <w:jc w:val="right"/>
            </w:pPr>
          </w:p>
        </w:tc>
        <w:tc>
          <w:tcPr>
            <w:tcW w:w="1701" w:type="dxa"/>
            <w:noWrap/>
          </w:tcPr>
          <w:p w14:paraId="0726B775" w14:textId="77777777" w:rsidR="00A37447" w:rsidRDefault="00A37447">
            <w:pPr>
              <w:keepNext/>
              <w:spacing w:after="20"/>
              <w:jc w:val="right"/>
            </w:pPr>
          </w:p>
        </w:tc>
        <w:tc>
          <w:tcPr>
            <w:tcW w:w="1701" w:type="dxa"/>
            <w:noWrap/>
          </w:tcPr>
          <w:p w14:paraId="7358BB79" w14:textId="77777777" w:rsidR="00A37447" w:rsidRDefault="00A37447">
            <w:pPr>
              <w:keepNext/>
              <w:spacing w:after="20"/>
              <w:jc w:val="right"/>
            </w:pPr>
            <w:r>
              <w:rPr>
                <w:b/>
                <w:sz w:val="16"/>
              </w:rPr>
              <w:t>1.567</w:t>
            </w:r>
          </w:p>
        </w:tc>
        <w:tc>
          <w:tcPr>
            <w:tcW w:w="1701" w:type="dxa"/>
            <w:noWrap/>
          </w:tcPr>
          <w:p w14:paraId="2E1D0519" w14:textId="77777777" w:rsidR="00A37447" w:rsidRDefault="00A37447">
            <w:pPr>
              <w:keepNext/>
              <w:spacing w:after="20"/>
              <w:jc w:val="right"/>
            </w:pPr>
          </w:p>
        </w:tc>
      </w:tr>
    </w:tbl>
    <w:p w14:paraId="47742B6F" w14:textId="77777777" w:rsidR="00A37447" w:rsidRPr="0036111A" w:rsidRDefault="00A37447">
      <w:pPr>
        <w:keepNext/>
        <w:keepLines/>
        <w:spacing w:after="60"/>
        <w:rPr>
          <w:lang w:val="es-PE"/>
        </w:rPr>
      </w:pPr>
      <w:r w:rsidRPr="0036111A">
        <w:rPr>
          <w:i/>
          <w:sz w:val="17"/>
          <w:lang w:val="es-PE"/>
        </w:rPr>
        <w:t>¹ Punto ubicado a 127 km del origen del ducto en Camisea.</w:t>
      </w:r>
    </w:p>
    <w:p w14:paraId="7D1EDC0D" w14:textId="77777777" w:rsidR="00A37447" w:rsidRPr="0036111A" w:rsidRDefault="00A37447">
      <w:pPr>
        <w:keepNext/>
        <w:keepLines/>
        <w:spacing w:after="60"/>
        <w:rPr>
          <w:lang w:val="es-PE"/>
        </w:rPr>
      </w:pPr>
      <w:r w:rsidRPr="0036111A">
        <w:rPr>
          <w:i/>
          <w:sz w:val="17"/>
          <w:lang w:val="es-PE"/>
        </w:rPr>
        <w:t>² Punto ubicado a 277 km del origen del ducto en Camisea.</w:t>
      </w:r>
    </w:p>
    <w:p w14:paraId="40A67269" w14:textId="77777777" w:rsidR="00A37447" w:rsidRPr="00786EA0" w:rsidRDefault="00A37447">
      <w:pPr>
        <w:keepNext/>
        <w:keepLines/>
        <w:spacing w:before="40"/>
        <w:jc w:val="right"/>
        <w:rPr>
          <w:lang w:val="es-PE"/>
        </w:rPr>
      </w:pPr>
      <w:r w:rsidRPr="00786EA0">
        <w:rPr>
          <w:b/>
          <w:color w:val="404040"/>
          <w:sz w:val="15"/>
          <w:lang w:val="es-PE"/>
        </w:rPr>
        <w:t>FUENTE: TGP, Osinergmin, Perú LNG</w:t>
      </w:r>
    </w:p>
    <w:p w14:paraId="09A7B233" w14:textId="77777777" w:rsidR="00A37447" w:rsidRPr="0036111A" w:rsidRDefault="00A37447">
      <w:pPr>
        <w:keepNext/>
        <w:keepLines/>
        <w:spacing w:before="160" w:after="20"/>
        <w:rPr>
          <w:lang w:val="es-PE"/>
        </w:rPr>
      </w:pPr>
      <w:r w:rsidRPr="0036111A">
        <w:rPr>
          <w:b/>
          <w:color w:val="00838F"/>
          <w:sz w:val="20"/>
          <w:lang w:val="es-PE"/>
        </w:rPr>
        <w:t>TRANSPORTE DE GAS NATURAL POR EL DUCTO DE TGP</w:t>
      </w:r>
    </w:p>
    <w:p w14:paraId="016BFC9D" w14:textId="77777777" w:rsidR="00A37447" w:rsidRPr="0036111A" w:rsidRDefault="00A37447">
      <w:pPr>
        <w:keepNext/>
        <w:keepLines/>
        <w:spacing w:after="60"/>
        <w:rPr>
          <w:lang w:val="es-PE"/>
        </w:rPr>
      </w:pPr>
      <w:r w:rsidRPr="0036111A">
        <w:rPr>
          <w:i/>
          <w:sz w:val="17"/>
          <w:lang w:val="es-PE"/>
        </w:rPr>
        <w:t>Millones de pies cúbicos por día</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4650748B" w14:textId="77777777">
        <w:trPr>
          <w:cantSplit/>
          <w:tblHeader/>
        </w:trPr>
        <w:tc>
          <w:tcPr>
            <w:tcW w:w="1063" w:type="dxa"/>
            <w:shd w:val="clear" w:color="auto" w:fill="1F3864"/>
          </w:tcPr>
          <w:p w14:paraId="26C6BB59" w14:textId="77777777" w:rsidR="00A37447" w:rsidRDefault="00A37447">
            <w:pPr>
              <w:keepNext/>
            </w:pPr>
            <w:r>
              <w:rPr>
                <w:b/>
                <w:color w:val="FFFFFF"/>
                <w:sz w:val="17"/>
              </w:rPr>
              <w:t>Destino</w:t>
            </w:r>
          </w:p>
        </w:tc>
        <w:tc>
          <w:tcPr>
            <w:tcW w:w="1063" w:type="dxa"/>
            <w:shd w:val="clear" w:color="auto" w:fill="1F3864"/>
            <w:noWrap/>
          </w:tcPr>
          <w:p w14:paraId="310E1489" w14:textId="77777777" w:rsidR="00A37447" w:rsidRDefault="00A37447">
            <w:pPr>
              <w:keepNext/>
              <w:jc w:val="right"/>
            </w:pPr>
            <w:r>
              <w:rPr>
                <w:b/>
                <w:color w:val="FFFFFF"/>
                <w:sz w:val="17"/>
              </w:rPr>
              <w:t>2021</w:t>
            </w:r>
          </w:p>
        </w:tc>
        <w:tc>
          <w:tcPr>
            <w:tcW w:w="1063" w:type="dxa"/>
            <w:shd w:val="clear" w:color="auto" w:fill="1F3864"/>
            <w:noWrap/>
          </w:tcPr>
          <w:p w14:paraId="04368A87" w14:textId="77777777" w:rsidR="00A37447" w:rsidRDefault="00A37447">
            <w:pPr>
              <w:keepNext/>
              <w:jc w:val="right"/>
            </w:pPr>
            <w:r>
              <w:rPr>
                <w:b/>
                <w:color w:val="FFFFFF"/>
                <w:sz w:val="17"/>
              </w:rPr>
              <w:t>2022</w:t>
            </w:r>
          </w:p>
        </w:tc>
        <w:tc>
          <w:tcPr>
            <w:tcW w:w="1063" w:type="dxa"/>
            <w:shd w:val="clear" w:color="auto" w:fill="1F3864"/>
            <w:noWrap/>
          </w:tcPr>
          <w:p w14:paraId="3B6D0218" w14:textId="77777777" w:rsidR="00A37447" w:rsidRDefault="00A37447">
            <w:pPr>
              <w:keepNext/>
              <w:jc w:val="right"/>
            </w:pPr>
            <w:r>
              <w:rPr>
                <w:b/>
                <w:color w:val="FFFFFF"/>
                <w:sz w:val="17"/>
              </w:rPr>
              <w:t>2023</w:t>
            </w:r>
          </w:p>
        </w:tc>
        <w:tc>
          <w:tcPr>
            <w:tcW w:w="1063" w:type="dxa"/>
            <w:shd w:val="clear" w:color="auto" w:fill="1F3864"/>
            <w:noWrap/>
          </w:tcPr>
          <w:p w14:paraId="5FF638E2" w14:textId="77777777" w:rsidR="00A37447" w:rsidRDefault="00A37447">
            <w:pPr>
              <w:keepNext/>
              <w:jc w:val="right"/>
            </w:pPr>
            <w:r>
              <w:rPr>
                <w:b/>
                <w:color w:val="FFFFFF"/>
                <w:sz w:val="17"/>
              </w:rPr>
              <w:t>2024</w:t>
            </w:r>
          </w:p>
        </w:tc>
        <w:tc>
          <w:tcPr>
            <w:tcW w:w="1063" w:type="dxa"/>
            <w:shd w:val="clear" w:color="auto" w:fill="1F3864"/>
            <w:noWrap/>
          </w:tcPr>
          <w:p w14:paraId="03F11650" w14:textId="77777777" w:rsidR="00A37447" w:rsidRDefault="00A37447">
            <w:pPr>
              <w:keepNext/>
              <w:jc w:val="right"/>
            </w:pPr>
            <w:r>
              <w:rPr>
                <w:b/>
                <w:color w:val="FFFFFF"/>
                <w:sz w:val="17"/>
              </w:rPr>
              <w:t>2025</w:t>
            </w:r>
          </w:p>
        </w:tc>
        <w:tc>
          <w:tcPr>
            <w:tcW w:w="1063" w:type="dxa"/>
            <w:shd w:val="clear" w:color="auto" w:fill="1F3864"/>
          </w:tcPr>
          <w:p w14:paraId="52F1B73B" w14:textId="77777777" w:rsidR="00A37447" w:rsidRDefault="00A37447">
            <w:pPr>
              <w:keepNext/>
              <w:jc w:val="right"/>
            </w:pPr>
            <w:r>
              <w:rPr>
                <w:b/>
                <w:color w:val="FFFFFF"/>
                <w:sz w:val="17"/>
              </w:rPr>
              <w:t>Var. % 2025 vs 2024</w:t>
            </w:r>
          </w:p>
        </w:tc>
        <w:tc>
          <w:tcPr>
            <w:tcW w:w="1063" w:type="dxa"/>
            <w:shd w:val="clear" w:color="auto" w:fill="1F3864"/>
          </w:tcPr>
          <w:p w14:paraId="1E0F26CE" w14:textId="77777777" w:rsidR="00A37447" w:rsidRDefault="00A37447">
            <w:pPr>
              <w:keepNext/>
              <w:jc w:val="right"/>
            </w:pPr>
            <w:r>
              <w:rPr>
                <w:b/>
                <w:color w:val="FFFFFF"/>
                <w:sz w:val="17"/>
              </w:rPr>
              <w:t>TACC 2021-2025</w:t>
            </w:r>
          </w:p>
        </w:tc>
      </w:tr>
      <w:tr w:rsidR="00855697" w14:paraId="3DD443D7" w14:textId="77777777">
        <w:trPr>
          <w:cantSplit/>
        </w:trPr>
        <w:tc>
          <w:tcPr>
            <w:tcW w:w="1063" w:type="dxa"/>
          </w:tcPr>
          <w:p w14:paraId="1793CBD2" w14:textId="77777777" w:rsidR="00A37447" w:rsidRDefault="00A37447">
            <w:pPr>
              <w:keepNext/>
              <w:spacing w:after="20"/>
            </w:pPr>
            <w:r>
              <w:rPr>
                <w:sz w:val="17"/>
              </w:rPr>
              <w:t>Camisea - Mercado Interno</w:t>
            </w:r>
          </w:p>
        </w:tc>
        <w:tc>
          <w:tcPr>
            <w:tcW w:w="1063" w:type="dxa"/>
            <w:noWrap/>
          </w:tcPr>
          <w:p w14:paraId="1BFEEA2B" w14:textId="77777777" w:rsidR="00A37447" w:rsidRDefault="00A37447">
            <w:pPr>
              <w:keepNext/>
              <w:spacing w:after="20"/>
              <w:jc w:val="right"/>
            </w:pPr>
            <w:r>
              <w:rPr>
                <w:sz w:val="16"/>
              </w:rPr>
              <w:t>618</w:t>
            </w:r>
          </w:p>
        </w:tc>
        <w:tc>
          <w:tcPr>
            <w:tcW w:w="1063" w:type="dxa"/>
            <w:noWrap/>
          </w:tcPr>
          <w:p w14:paraId="1D6A33E9" w14:textId="77777777" w:rsidR="00A37447" w:rsidRDefault="00A37447">
            <w:pPr>
              <w:keepNext/>
              <w:spacing w:after="20"/>
              <w:jc w:val="right"/>
            </w:pPr>
            <w:r>
              <w:rPr>
                <w:sz w:val="16"/>
              </w:rPr>
              <w:t>734</w:t>
            </w:r>
          </w:p>
        </w:tc>
        <w:tc>
          <w:tcPr>
            <w:tcW w:w="1063" w:type="dxa"/>
            <w:noWrap/>
          </w:tcPr>
          <w:p w14:paraId="0E5645A4" w14:textId="77777777" w:rsidR="00A37447" w:rsidRDefault="00A37447">
            <w:pPr>
              <w:keepNext/>
              <w:spacing w:after="20"/>
              <w:jc w:val="right"/>
            </w:pPr>
            <w:r>
              <w:rPr>
                <w:sz w:val="16"/>
              </w:rPr>
              <w:t>744</w:t>
            </w:r>
          </w:p>
        </w:tc>
        <w:tc>
          <w:tcPr>
            <w:tcW w:w="1063" w:type="dxa"/>
            <w:noWrap/>
          </w:tcPr>
          <w:p w14:paraId="1EBA6FCF" w14:textId="77777777" w:rsidR="00A37447" w:rsidRDefault="00A37447">
            <w:pPr>
              <w:keepNext/>
              <w:spacing w:after="20"/>
              <w:jc w:val="right"/>
            </w:pPr>
            <w:r>
              <w:rPr>
                <w:sz w:val="16"/>
              </w:rPr>
              <w:t>702</w:t>
            </w:r>
          </w:p>
        </w:tc>
        <w:tc>
          <w:tcPr>
            <w:tcW w:w="1063" w:type="dxa"/>
            <w:noWrap/>
          </w:tcPr>
          <w:p w14:paraId="716019C2" w14:textId="77777777" w:rsidR="00A37447" w:rsidRDefault="00A37447">
            <w:pPr>
              <w:keepNext/>
              <w:spacing w:after="20"/>
              <w:jc w:val="right"/>
            </w:pPr>
            <w:r>
              <w:rPr>
                <w:sz w:val="16"/>
              </w:rPr>
              <w:t>694</w:t>
            </w:r>
          </w:p>
        </w:tc>
        <w:tc>
          <w:tcPr>
            <w:tcW w:w="1063" w:type="dxa"/>
            <w:noWrap/>
          </w:tcPr>
          <w:p w14:paraId="0EC92536" w14:textId="77777777" w:rsidR="00A37447" w:rsidRDefault="00A37447">
            <w:pPr>
              <w:keepNext/>
              <w:spacing w:after="20"/>
              <w:jc w:val="right"/>
            </w:pPr>
            <w:r>
              <w:rPr>
                <w:sz w:val="16"/>
              </w:rPr>
              <w:t>-1,1 %</w:t>
            </w:r>
          </w:p>
        </w:tc>
        <w:tc>
          <w:tcPr>
            <w:tcW w:w="1063" w:type="dxa"/>
            <w:noWrap/>
          </w:tcPr>
          <w:p w14:paraId="55A5344D" w14:textId="77777777" w:rsidR="00A37447" w:rsidRDefault="00A37447">
            <w:pPr>
              <w:keepNext/>
              <w:spacing w:after="20"/>
              <w:jc w:val="right"/>
            </w:pPr>
            <w:r>
              <w:rPr>
                <w:sz w:val="16"/>
              </w:rPr>
              <w:t>2,9 %</w:t>
            </w:r>
          </w:p>
        </w:tc>
      </w:tr>
      <w:tr w:rsidR="00855697" w14:paraId="3ED7900B" w14:textId="77777777">
        <w:trPr>
          <w:cantSplit/>
        </w:trPr>
        <w:tc>
          <w:tcPr>
            <w:tcW w:w="1063" w:type="dxa"/>
          </w:tcPr>
          <w:p w14:paraId="133B6F17" w14:textId="02F74164" w:rsidR="00A37447" w:rsidRDefault="00A37447">
            <w:pPr>
              <w:keepNext/>
              <w:spacing w:after="20"/>
            </w:pPr>
            <w:r>
              <w:rPr>
                <w:sz w:val="17"/>
              </w:rPr>
              <w:t>Camisea - Exportación (Pampa Melchorita)</w:t>
            </w:r>
          </w:p>
        </w:tc>
        <w:tc>
          <w:tcPr>
            <w:tcW w:w="1063" w:type="dxa"/>
            <w:noWrap/>
          </w:tcPr>
          <w:p w14:paraId="6A2192FB" w14:textId="77777777" w:rsidR="00A37447" w:rsidRDefault="00A37447">
            <w:pPr>
              <w:keepNext/>
              <w:spacing w:after="20"/>
              <w:jc w:val="right"/>
            </w:pPr>
            <w:r>
              <w:rPr>
                <w:sz w:val="16"/>
              </w:rPr>
              <w:t>402</w:t>
            </w:r>
          </w:p>
        </w:tc>
        <w:tc>
          <w:tcPr>
            <w:tcW w:w="1063" w:type="dxa"/>
            <w:noWrap/>
          </w:tcPr>
          <w:p w14:paraId="251087EB" w14:textId="77777777" w:rsidR="00A37447" w:rsidRDefault="00A37447">
            <w:pPr>
              <w:keepNext/>
              <w:spacing w:after="20"/>
              <w:jc w:val="right"/>
            </w:pPr>
            <w:r>
              <w:rPr>
                <w:sz w:val="16"/>
              </w:rPr>
              <w:t>486</w:t>
            </w:r>
          </w:p>
        </w:tc>
        <w:tc>
          <w:tcPr>
            <w:tcW w:w="1063" w:type="dxa"/>
            <w:noWrap/>
          </w:tcPr>
          <w:p w14:paraId="063B08F5" w14:textId="77777777" w:rsidR="00A37447" w:rsidRDefault="00A37447">
            <w:pPr>
              <w:keepNext/>
              <w:spacing w:after="20"/>
              <w:jc w:val="right"/>
            </w:pPr>
            <w:r>
              <w:rPr>
                <w:sz w:val="16"/>
              </w:rPr>
              <w:t>551</w:t>
            </w:r>
          </w:p>
        </w:tc>
        <w:tc>
          <w:tcPr>
            <w:tcW w:w="1063" w:type="dxa"/>
            <w:noWrap/>
          </w:tcPr>
          <w:p w14:paraId="21D35687" w14:textId="77777777" w:rsidR="00A37447" w:rsidRDefault="00A37447">
            <w:pPr>
              <w:keepNext/>
              <w:spacing w:after="20"/>
              <w:jc w:val="right"/>
            </w:pPr>
            <w:r>
              <w:rPr>
                <w:sz w:val="16"/>
              </w:rPr>
              <w:t>588</w:t>
            </w:r>
          </w:p>
        </w:tc>
        <w:tc>
          <w:tcPr>
            <w:tcW w:w="1063" w:type="dxa"/>
            <w:noWrap/>
          </w:tcPr>
          <w:p w14:paraId="43AB435F" w14:textId="77777777" w:rsidR="00A37447" w:rsidRDefault="00A37447">
            <w:pPr>
              <w:keepNext/>
              <w:spacing w:after="20"/>
              <w:jc w:val="right"/>
            </w:pPr>
            <w:r>
              <w:rPr>
                <w:sz w:val="16"/>
              </w:rPr>
              <w:t>554</w:t>
            </w:r>
          </w:p>
        </w:tc>
        <w:tc>
          <w:tcPr>
            <w:tcW w:w="1063" w:type="dxa"/>
            <w:noWrap/>
          </w:tcPr>
          <w:p w14:paraId="1C44748C" w14:textId="77777777" w:rsidR="00A37447" w:rsidRDefault="00A37447">
            <w:pPr>
              <w:keepNext/>
              <w:spacing w:after="20"/>
              <w:jc w:val="right"/>
            </w:pPr>
            <w:r>
              <w:rPr>
                <w:sz w:val="16"/>
              </w:rPr>
              <w:t>-5,7 %</w:t>
            </w:r>
          </w:p>
        </w:tc>
        <w:tc>
          <w:tcPr>
            <w:tcW w:w="1063" w:type="dxa"/>
            <w:noWrap/>
          </w:tcPr>
          <w:p w14:paraId="0937DAF5" w14:textId="77777777" w:rsidR="00A37447" w:rsidRDefault="00A37447">
            <w:pPr>
              <w:keepNext/>
              <w:spacing w:after="20"/>
              <w:jc w:val="right"/>
            </w:pPr>
            <w:r>
              <w:rPr>
                <w:sz w:val="16"/>
              </w:rPr>
              <w:t>8,4 %</w:t>
            </w:r>
          </w:p>
        </w:tc>
      </w:tr>
      <w:tr w:rsidR="00855697" w14:paraId="507D395D" w14:textId="77777777">
        <w:trPr>
          <w:cantSplit/>
        </w:trPr>
        <w:tc>
          <w:tcPr>
            <w:tcW w:w="1063" w:type="dxa"/>
            <w:noWrap/>
          </w:tcPr>
          <w:p w14:paraId="6EBDC1D2" w14:textId="77777777" w:rsidR="00A37447" w:rsidRDefault="00A37447">
            <w:pPr>
              <w:keepNext/>
              <w:spacing w:after="20"/>
            </w:pPr>
            <w:r>
              <w:rPr>
                <w:b/>
                <w:sz w:val="17"/>
              </w:rPr>
              <w:t>Total</w:t>
            </w:r>
          </w:p>
        </w:tc>
        <w:tc>
          <w:tcPr>
            <w:tcW w:w="1063" w:type="dxa"/>
            <w:noWrap/>
          </w:tcPr>
          <w:p w14:paraId="00C18E9A" w14:textId="77777777" w:rsidR="00A37447" w:rsidRDefault="00A37447">
            <w:pPr>
              <w:keepNext/>
              <w:spacing w:after="20"/>
              <w:jc w:val="right"/>
            </w:pPr>
            <w:r>
              <w:rPr>
                <w:sz w:val="16"/>
              </w:rPr>
              <w:t>1.020</w:t>
            </w:r>
          </w:p>
        </w:tc>
        <w:tc>
          <w:tcPr>
            <w:tcW w:w="1063" w:type="dxa"/>
            <w:noWrap/>
          </w:tcPr>
          <w:p w14:paraId="1C88606C" w14:textId="77777777" w:rsidR="00A37447" w:rsidRDefault="00A37447">
            <w:pPr>
              <w:keepNext/>
              <w:spacing w:after="20"/>
              <w:jc w:val="right"/>
            </w:pPr>
            <w:r>
              <w:rPr>
                <w:sz w:val="16"/>
              </w:rPr>
              <w:t>1.220</w:t>
            </w:r>
          </w:p>
        </w:tc>
        <w:tc>
          <w:tcPr>
            <w:tcW w:w="1063" w:type="dxa"/>
            <w:noWrap/>
          </w:tcPr>
          <w:p w14:paraId="36E7C4BC" w14:textId="77777777" w:rsidR="00A37447" w:rsidRDefault="00A37447">
            <w:pPr>
              <w:keepNext/>
              <w:spacing w:after="20"/>
              <w:jc w:val="right"/>
            </w:pPr>
            <w:r>
              <w:rPr>
                <w:sz w:val="16"/>
              </w:rPr>
              <w:t>1.296</w:t>
            </w:r>
          </w:p>
        </w:tc>
        <w:tc>
          <w:tcPr>
            <w:tcW w:w="1063" w:type="dxa"/>
            <w:noWrap/>
          </w:tcPr>
          <w:p w14:paraId="747339CC" w14:textId="77777777" w:rsidR="00A37447" w:rsidRDefault="00A37447">
            <w:pPr>
              <w:keepNext/>
              <w:spacing w:after="20"/>
              <w:jc w:val="right"/>
            </w:pPr>
            <w:r>
              <w:rPr>
                <w:sz w:val="16"/>
              </w:rPr>
              <w:t>1.290</w:t>
            </w:r>
          </w:p>
        </w:tc>
        <w:tc>
          <w:tcPr>
            <w:tcW w:w="1063" w:type="dxa"/>
            <w:noWrap/>
          </w:tcPr>
          <w:p w14:paraId="037D3303" w14:textId="77777777" w:rsidR="00A37447" w:rsidRDefault="00A37447">
            <w:pPr>
              <w:keepNext/>
              <w:spacing w:after="20"/>
              <w:jc w:val="right"/>
            </w:pPr>
            <w:r>
              <w:rPr>
                <w:sz w:val="16"/>
              </w:rPr>
              <w:t>1.249</w:t>
            </w:r>
          </w:p>
        </w:tc>
        <w:tc>
          <w:tcPr>
            <w:tcW w:w="1063" w:type="dxa"/>
            <w:noWrap/>
          </w:tcPr>
          <w:p w14:paraId="751A9CC7" w14:textId="77777777" w:rsidR="00A37447" w:rsidRDefault="00A37447">
            <w:pPr>
              <w:keepNext/>
              <w:spacing w:after="20"/>
              <w:jc w:val="right"/>
            </w:pPr>
            <w:r>
              <w:rPr>
                <w:sz w:val="16"/>
              </w:rPr>
              <w:t>-3,2 %</w:t>
            </w:r>
          </w:p>
        </w:tc>
        <w:tc>
          <w:tcPr>
            <w:tcW w:w="1063" w:type="dxa"/>
            <w:noWrap/>
          </w:tcPr>
          <w:p w14:paraId="18FD8252" w14:textId="77777777" w:rsidR="00A37447" w:rsidRDefault="00A37447">
            <w:pPr>
              <w:keepNext/>
              <w:spacing w:after="20"/>
              <w:jc w:val="right"/>
            </w:pPr>
            <w:r>
              <w:rPr>
                <w:sz w:val="16"/>
              </w:rPr>
              <w:t>5,2 %</w:t>
            </w:r>
          </w:p>
        </w:tc>
      </w:tr>
    </w:tbl>
    <w:p w14:paraId="6F0E79C0" w14:textId="77777777" w:rsidR="00A37447" w:rsidRDefault="00A37447">
      <w:pPr>
        <w:keepLines/>
        <w:spacing w:before="40"/>
        <w:jc w:val="right"/>
      </w:pPr>
      <w:r>
        <w:rPr>
          <w:b/>
          <w:color w:val="404040"/>
          <w:sz w:val="15"/>
        </w:rPr>
        <w:t>FUENTE: Osinergmin</w:t>
      </w:r>
    </w:p>
    <w:p w14:paraId="234B77AA" w14:textId="77777777" w:rsidR="00786EA0" w:rsidRDefault="00786EA0">
      <w:pPr>
        <w:rPr>
          <w:lang w:val="es-PE"/>
        </w:rPr>
      </w:pPr>
    </w:p>
    <w:p w14:paraId="23ECCE11" w14:textId="02247729" w:rsidR="00A37447" w:rsidRPr="0036111A" w:rsidRDefault="00A37447">
      <w:pPr>
        <w:keepLines/>
        <w:rPr>
          <w:lang w:val="es-PE"/>
        </w:rPr>
      </w:pPr>
      <w:r w:rsidRPr="0036111A">
        <w:rPr>
          <w:lang w:val="es-PE"/>
        </w:rPr>
        <w:lastRenderedPageBreak/>
        <w:t xml:space="preserve">En 2025, el volumen transportado por el ducto que lleva el gas natural desde Camisea hasta la costa, operado por Transportadora de Gas del Perú, totalizó 1.249 MMpcd en promedio, un nivel 3 % por debajo de lo registrado en 2024. El segmento de mercado interno se mantuvo relativamente estable (694 MMpcd; -1 %), mientras que el de exportación </w:t>
      </w:r>
      <w:r>
        <w:rPr>
          <w:lang w:val="es-PE"/>
        </w:rPr>
        <w:t>–</w:t>
      </w:r>
      <w:r w:rsidRPr="0036111A">
        <w:rPr>
          <w:lang w:val="es-PE"/>
        </w:rPr>
        <w:t>vinculado directamente a la producción de los lotes 56 y 57</w:t>
      </w:r>
      <w:r>
        <w:rPr>
          <w:lang w:val="es-PE"/>
        </w:rPr>
        <w:t>–</w:t>
      </w:r>
      <w:r w:rsidRPr="0036111A">
        <w:rPr>
          <w:lang w:val="es-PE"/>
        </w:rPr>
        <w:t xml:space="preserve"> cayó 6 %, hasta los 554 MMpcd. La menor producción del </w:t>
      </w:r>
      <w:r>
        <w:rPr>
          <w:lang w:val="es-PE"/>
        </w:rPr>
        <w:t>L</w:t>
      </w:r>
      <w:r w:rsidRPr="0036111A">
        <w:rPr>
          <w:lang w:val="es-PE"/>
        </w:rPr>
        <w:t xml:space="preserve">ote 56 habría tenido la mayor incidencia en la reducción registrada en este segmento. Con todo, el transporte de gas natural por el ducto de TGP creció a una tasa promedio anual de 5 % entre 2021 y 2025 </w:t>
      </w:r>
      <w:r>
        <w:rPr>
          <w:lang w:val="es-PE"/>
        </w:rPr>
        <w:t>–</w:t>
      </w:r>
      <w:r w:rsidRPr="0036111A">
        <w:rPr>
          <w:lang w:val="es-PE"/>
        </w:rPr>
        <w:t>liderado por el segmento de exportación, con una tasa de crecimiento anual compuesto (TACC) de 8 %</w:t>
      </w:r>
      <w:r>
        <w:rPr>
          <w:lang w:val="es-PE"/>
        </w:rPr>
        <w:t>–</w:t>
      </w:r>
      <w:r w:rsidRPr="0036111A">
        <w:rPr>
          <w:lang w:val="es-PE"/>
        </w:rPr>
        <w:t>, lo que refleja una tendencia estructural de crecimiento de mediano plazo, pese a la moderación reciente.</w:t>
      </w:r>
    </w:p>
    <w:p w14:paraId="6507FE2A" w14:textId="2FD01417" w:rsidR="00A37447" w:rsidRPr="0036111A" w:rsidRDefault="00A37447">
      <w:pPr>
        <w:keepLines/>
        <w:rPr>
          <w:lang w:val="es-PE"/>
        </w:rPr>
      </w:pPr>
      <w:r w:rsidRPr="0036111A">
        <w:rPr>
          <w:lang w:val="es-PE"/>
        </w:rPr>
        <w:t xml:space="preserve">La propuesta de Transportadora de Gas del Perú (TGP) para extender el gasoducto hacia el sur del país </w:t>
      </w:r>
      <w:r>
        <w:rPr>
          <w:lang w:val="es-PE"/>
        </w:rPr>
        <w:t>–</w:t>
      </w:r>
      <w:r w:rsidRPr="0036111A">
        <w:rPr>
          <w:lang w:val="es-PE"/>
        </w:rPr>
        <w:t>presentada en 2024 al Gobierno con financiamiento 100 % privado a cambio de 10 años adicionales de concesión</w:t>
      </w:r>
      <w:r>
        <w:rPr>
          <w:lang w:val="es-PE"/>
        </w:rPr>
        <w:t>–</w:t>
      </w:r>
      <w:r w:rsidRPr="0036111A">
        <w:rPr>
          <w:lang w:val="es-PE"/>
        </w:rPr>
        <w:t xml:space="preserve"> continuó en evaluación durante 2025 sin alcanzar un acuerdo definitivo. En setiembre de 2026, TGP presentó una nueva versión que incorpora un ramal a Tacna (ver sección 6.1). Por su parte, el Sistema Integrado de Transporte de Gas (SIT-Gas) </w:t>
      </w:r>
      <w:r>
        <w:rPr>
          <w:lang w:val="es-PE"/>
        </w:rPr>
        <w:t>–</w:t>
      </w:r>
      <w:r w:rsidRPr="0036111A">
        <w:rPr>
          <w:lang w:val="es-PE"/>
        </w:rPr>
        <w:t>reformulación del proyecto del Gasoducto Sur Peruano paralizado en 2017</w:t>
      </w:r>
      <w:r>
        <w:rPr>
          <w:lang w:val="es-PE"/>
        </w:rPr>
        <w:t>–</w:t>
      </w:r>
      <w:r w:rsidRPr="0036111A">
        <w:rPr>
          <w:lang w:val="es-PE"/>
        </w:rPr>
        <w:t xml:space="preserve"> no registró avances en el último año y se mantiene lejos de alcanzar la etapa de construcción.</w:t>
      </w:r>
    </w:p>
    <w:p w14:paraId="553135AE" w14:textId="77777777" w:rsidR="00A37447" w:rsidRPr="0036111A" w:rsidRDefault="00A37447">
      <w:pPr>
        <w:rPr>
          <w:lang w:val="es-PE"/>
        </w:rPr>
      </w:pPr>
    </w:p>
    <w:p w14:paraId="3EC9FF3E" w14:textId="5C9F8A59" w:rsidR="00A37447" w:rsidRDefault="00A37447">
      <w:pPr>
        <w:spacing w:before="160"/>
        <w:jc w:val="center"/>
        <w:rPr>
          <w:lang w:val="es-ES"/>
        </w:rPr>
      </w:pPr>
      <w:r>
        <w:rPr>
          <w:noProof/>
        </w:rPr>
        <w:drawing>
          <wp:inline distT="0" distB="0" distL="0" distR="0" wp14:anchorId="63B21927" wp14:editId="427BC775">
            <wp:extent cx="4320000" cy="3095065"/>
            <wp:effectExtent l="0" t="0" r="0" b="0"/>
            <wp:docPr id="2110891808" name="Imagen 211089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5.png"/>
                    <pic:cNvPicPr/>
                  </pic:nvPicPr>
                  <pic:blipFill>
                    <a:blip r:embed="rId15"/>
                    <a:stretch>
                      <a:fillRect/>
                    </a:stretch>
                  </pic:blipFill>
                  <pic:spPr>
                    <a:xfrm>
                      <a:off x="0" y="0"/>
                      <a:ext cx="4320000" cy="3095065"/>
                    </a:xfrm>
                    <a:prstGeom prst="rect">
                      <a:avLst/>
                    </a:prstGeom>
                  </pic:spPr>
                </pic:pic>
              </a:graphicData>
            </a:graphic>
          </wp:inline>
        </w:drawing>
      </w:r>
    </w:p>
    <w:p w14:paraId="038BCA3C" w14:textId="77777777" w:rsidR="00A37447" w:rsidRDefault="00A37447">
      <w:pPr>
        <w:rPr>
          <w:lang w:val="es-ES"/>
        </w:rPr>
      </w:pPr>
    </w:p>
    <w:p w14:paraId="24DA026A" w14:textId="77777777" w:rsidR="00A37447" w:rsidRPr="0036111A" w:rsidRDefault="00A37447">
      <w:pPr>
        <w:pStyle w:val="Ttulo3"/>
        <w:pageBreakBefore/>
        <w:rPr>
          <w:lang w:val="es-PE"/>
        </w:rPr>
      </w:pPr>
      <w:bookmarkStart w:id="13" w:name="_Toc235083023"/>
      <w:r w:rsidRPr="0036111A">
        <w:rPr>
          <w:lang w:val="es-PE"/>
        </w:rPr>
        <w:lastRenderedPageBreak/>
        <w:t>3.2.5. Exportaciones de gas natural licuado</w:t>
      </w:r>
      <w:bookmarkEnd w:id="13"/>
    </w:p>
    <w:p w14:paraId="189F4B70" w14:textId="77777777" w:rsidR="00A37447" w:rsidRPr="0036111A" w:rsidRDefault="00A37447">
      <w:pPr>
        <w:keepLines/>
        <w:rPr>
          <w:lang w:val="es-PE"/>
        </w:rPr>
      </w:pPr>
      <w:r w:rsidRPr="0036111A">
        <w:rPr>
          <w:lang w:val="es-PE"/>
        </w:rPr>
        <w:t xml:space="preserve">En 2025, el Perú exportó 8,1 millones de metros cúbicos (MM m³) de GNL, medidos en estado líquido, que corresponden a los 488 MMpcd de gas natural destinados a exportación. La diferencia entre ambas unidades está en el proceso: el gas se enfría </w:t>
      </w:r>
      <w:r>
        <w:rPr>
          <w:lang w:val="es-PE"/>
        </w:rPr>
        <w:t>hasta −162</w:t>
      </w:r>
      <w:r w:rsidRPr="0036111A">
        <w:rPr>
          <w:lang w:val="es-PE"/>
        </w:rPr>
        <w:t xml:space="preserve"> °C y pasa a un estado líquido criogénico que reduce su volumen cerca de 600 veces, lo que hace posible transportarlo por barco. El volumen exportado cayó 9 % frente a los 8,9 MM m³ de 2024, pero se mantuvo por encima del promedio de los últimos cinco años (7,7 MM m³) y lejos del mínimo de 5,7 MM m³ registrado en 2021. El número de embarques se incrementó a 77 (frente a 71 en 2024), lo que refleja una mayor frecuencia de envíos con cargas de menor tamaño promedio.</w:t>
      </w:r>
    </w:p>
    <w:p w14:paraId="4EAA3904" w14:textId="77777777" w:rsidR="00C75A27" w:rsidRDefault="00D4093E">
      <w:pPr>
        <w:spacing w:before="160"/>
        <w:jc w:val="center"/>
      </w:pPr>
      <w:r>
        <w:rPr>
          <w:noProof/>
        </w:rPr>
        <w:drawing>
          <wp:inline distT="0" distB="0" distL="0" distR="0" wp14:anchorId="219FA8A0" wp14:editId="0514C2CB">
            <wp:extent cx="4320000" cy="2861299"/>
            <wp:effectExtent l="0" t="0" r="0" b="0"/>
            <wp:docPr id="90050" name="Picture 9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37.png"/>
                    <pic:cNvPicPr/>
                  </pic:nvPicPr>
                  <pic:blipFill>
                    <a:blip r:embed="rId44"/>
                    <a:stretch>
                      <a:fillRect/>
                    </a:stretch>
                  </pic:blipFill>
                  <pic:spPr>
                    <a:xfrm>
                      <a:off x="0" y="0"/>
                      <a:ext cx="4320000" cy="2861299"/>
                    </a:xfrm>
                    <a:prstGeom prst="rect">
                      <a:avLst/>
                    </a:prstGeom>
                  </pic:spPr>
                </pic:pic>
              </a:graphicData>
            </a:graphic>
          </wp:inline>
        </w:drawing>
      </w:r>
    </w:p>
    <w:p w14:paraId="735A3C4C" w14:textId="77777777" w:rsidR="00C75A27" w:rsidRDefault="00D4093E">
      <w:pPr>
        <w:spacing w:before="160"/>
        <w:jc w:val="center"/>
      </w:pPr>
      <w:r>
        <w:rPr>
          <w:noProof/>
        </w:rPr>
        <w:drawing>
          <wp:inline distT="0" distB="0" distL="0" distR="0" wp14:anchorId="08818FDC" wp14:editId="6D78A18B">
            <wp:extent cx="4320000" cy="2889351"/>
            <wp:effectExtent l="0" t="0" r="0" b="0"/>
            <wp:docPr id="90051" name="Picture 9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38.png"/>
                    <pic:cNvPicPr/>
                  </pic:nvPicPr>
                  <pic:blipFill>
                    <a:blip r:embed="rId45"/>
                    <a:stretch>
                      <a:fillRect/>
                    </a:stretch>
                  </pic:blipFill>
                  <pic:spPr>
                    <a:xfrm>
                      <a:off x="0" y="0"/>
                      <a:ext cx="4320000" cy="2889351"/>
                    </a:xfrm>
                    <a:prstGeom prst="rect">
                      <a:avLst/>
                    </a:prstGeom>
                  </pic:spPr>
                </pic:pic>
              </a:graphicData>
            </a:graphic>
          </wp:inline>
        </w:drawing>
      </w:r>
    </w:p>
    <w:p w14:paraId="3C81EAD3" w14:textId="094570C9" w:rsidR="00A37447" w:rsidRDefault="00A37447">
      <w:pPr>
        <w:spacing w:before="160"/>
        <w:jc w:val="center"/>
        <w:rPr>
          <w:noProof/>
        </w:rPr>
      </w:pPr>
    </w:p>
    <w:p w14:paraId="0BFF6074" w14:textId="5CAFD9EA" w:rsidR="00A37447" w:rsidRPr="0036111A" w:rsidRDefault="00A37447">
      <w:pPr>
        <w:keepLines/>
        <w:rPr>
          <w:lang w:val="es-PE"/>
        </w:rPr>
      </w:pPr>
      <w:r w:rsidRPr="0036111A">
        <w:rPr>
          <w:highlight w:val="yellow"/>
          <w:lang w:val="es-PE"/>
        </w:rPr>
        <w:lastRenderedPageBreak/>
        <w:t>El valor de las exportaciones de GNL alcanzó US$ 1.415 millones en 2025, una reducción de 5 % frente a los US$ 1.494 millones de 2024. A diferencia del año anterior, la caída en valor no respondió a menores precios: el precio promedio de exportación se recuperó ligeramente, pasando de US$ 168 a US$ 175 por metro cúbico (+5 %), equivalente a US$ 7,6 por MMBTU. La regalía promedio pagada al Estado se mantuvo estable en US$ 1,7 por MMBTU, muy por debajo de los picos de 2021-2022. La disminución en el valor total obedeció exclusivamente al menor volumen exportado, vinculado a la contracción de la producción del Lote 56 de Pluspetrol.</w:t>
      </w:r>
    </w:p>
    <w:p w14:paraId="5F23FAEF" w14:textId="77777777" w:rsidR="00A37447" w:rsidRPr="0036111A" w:rsidRDefault="00A37447">
      <w:pPr>
        <w:keepNext/>
        <w:rPr>
          <w:lang w:val="es-PE"/>
        </w:rPr>
      </w:pPr>
    </w:p>
    <w:p w14:paraId="025E96E4" w14:textId="77777777" w:rsidR="00A37447" w:rsidRPr="0036111A" w:rsidRDefault="00A37447">
      <w:pPr>
        <w:keepNext/>
        <w:keepLines/>
        <w:spacing w:before="160" w:after="20"/>
        <w:rPr>
          <w:lang w:val="es-PE"/>
        </w:rPr>
      </w:pPr>
      <w:r w:rsidRPr="0036111A">
        <w:rPr>
          <w:b/>
          <w:color w:val="00838F"/>
          <w:sz w:val="20"/>
          <w:lang w:val="es-PE"/>
        </w:rPr>
        <w:t>CIFRAS RELEVANTES SOBRE LAS EXPORTACIONES DE GNL</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567FC958" w14:textId="77777777">
        <w:trPr>
          <w:cantSplit/>
          <w:tblHeader/>
        </w:trPr>
        <w:tc>
          <w:tcPr>
            <w:tcW w:w="1063" w:type="dxa"/>
            <w:shd w:val="clear" w:color="auto" w:fill="1F3864"/>
          </w:tcPr>
          <w:p w14:paraId="01CF6A2B" w14:textId="77777777" w:rsidR="00A37447" w:rsidRDefault="00A37447">
            <w:pPr>
              <w:keepNext/>
            </w:pPr>
            <w:r>
              <w:rPr>
                <w:b/>
                <w:color w:val="FFFFFF"/>
                <w:sz w:val="17"/>
              </w:rPr>
              <w:t>Indicador</w:t>
            </w:r>
          </w:p>
        </w:tc>
        <w:tc>
          <w:tcPr>
            <w:tcW w:w="1063" w:type="dxa"/>
            <w:shd w:val="clear" w:color="auto" w:fill="1F3864"/>
            <w:noWrap/>
          </w:tcPr>
          <w:p w14:paraId="0D28B617" w14:textId="77777777" w:rsidR="00A37447" w:rsidRDefault="00A37447">
            <w:pPr>
              <w:keepNext/>
              <w:jc w:val="right"/>
            </w:pPr>
            <w:r>
              <w:rPr>
                <w:b/>
                <w:color w:val="FFFFFF"/>
                <w:sz w:val="17"/>
              </w:rPr>
              <w:t>2021</w:t>
            </w:r>
          </w:p>
        </w:tc>
        <w:tc>
          <w:tcPr>
            <w:tcW w:w="1063" w:type="dxa"/>
            <w:shd w:val="clear" w:color="auto" w:fill="1F3864"/>
            <w:noWrap/>
          </w:tcPr>
          <w:p w14:paraId="6DDE38E2" w14:textId="77777777" w:rsidR="00A37447" w:rsidRDefault="00A37447">
            <w:pPr>
              <w:keepNext/>
              <w:jc w:val="right"/>
            </w:pPr>
            <w:r>
              <w:rPr>
                <w:b/>
                <w:color w:val="FFFFFF"/>
                <w:sz w:val="17"/>
              </w:rPr>
              <w:t>2022</w:t>
            </w:r>
          </w:p>
        </w:tc>
        <w:tc>
          <w:tcPr>
            <w:tcW w:w="1063" w:type="dxa"/>
            <w:shd w:val="clear" w:color="auto" w:fill="1F3864"/>
            <w:noWrap/>
          </w:tcPr>
          <w:p w14:paraId="013938F3" w14:textId="77777777" w:rsidR="00A37447" w:rsidRDefault="00A37447">
            <w:pPr>
              <w:keepNext/>
              <w:jc w:val="right"/>
            </w:pPr>
            <w:r>
              <w:rPr>
                <w:b/>
                <w:color w:val="FFFFFF"/>
                <w:sz w:val="17"/>
              </w:rPr>
              <w:t>2023</w:t>
            </w:r>
          </w:p>
        </w:tc>
        <w:tc>
          <w:tcPr>
            <w:tcW w:w="1063" w:type="dxa"/>
            <w:shd w:val="clear" w:color="auto" w:fill="1F3864"/>
            <w:noWrap/>
          </w:tcPr>
          <w:p w14:paraId="0B4A7382" w14:textId="77777777" w:rsidR="00A37447" w:rsidRDefault="00A37447">
            <w:pPr>
              <w:keepNext/>
              <w:jc w:val="right"/>
            </w:pPr>
            <w:r>
              <w:rPr>
                <w:b/>
                <w:color w:val="FFFFFF"/>
                <w:sz w:val="17"/>
              </w:rPr>
              <w:t>2024</w:t>
            </w:r>
          </w:p>
        </w:tc>
        <w:tc>
          <w:tcPr>
            <w:tcW w:w="1063" w:type="dxa"/>
            <w:shd w:val="clear" w:color="auto" w:fill="1F3864"/>
            <w:noWrap/>
          </w:tcPr>
          <w:p w14:paraId="423E02AB" w14:textId="77777777" w:rsidR="00A37447" w:rsidRDefault="00A37447">
            <w:pPr>
              <w:keepNext/>
              <w:jc w:val="right"/>
            </w:pPr>
            <w:r>
              <w:rPr>
                <w:b/>
                <w:color w:val="FFFFFF"/>
                <w:sz w:val="17"/>
              </w:rPr>
              <w:t>2025</w:t>
            </w:r>
          </w:p>
        </w:tc>
        <w:tc>
          <w:tcPr>
            <w:tcW w:w="1063" w:type="dxa"/>
            <w:shd w:val="clear" w:color="auto" w:fill="1F3864"/>
          </w:tcPr>
          <w:p w14:paraId="5FF92130" w14:textId="77777777" w:rsidR="00A37447" w:rsidRDefault="00A37447">
            <w:pPr>
              <w:keepNext/>
              <w:jc w:val="right"/>
            </w:pPr>
            <w:r>
              <w:rPr>
                <w:b/>
                <w:color w:val="FFFFFF"/>
                <w:sz w:val="17"/>
              </w:rPr>
              <w:t>Var. % 2025 vs 2024</w:t>
            </w:r>
          </w:p>
        </w:tc>
        <w:tc>
          <w:tcPr>
            <w:tcW w:w="1063" w:type="dxa"/>
            <w:shd w:val="clear" w:color="auto" w:fill="1F3864"/>
          </w:tcPr>
          <w:p w14:paraId="737B2678" w14:textId="77777777" w:rsidR="00A37447" w:rsidRDefault="00A37447">
            <w:pPr>
              <w:keepNext/>
              <w:jc w:val="right"/>
            </w:pPr>
            <w:r>
              <w:rPr>
                <w:b/>
                <w:color w:val="FFFFFF"/>
                <w:sz w:val="17"/>
              </w:rPr>
              <w:t>TACC 2021-2025</w:t>
            </w:r>
          </w:p>
        </w:tc>
      </w:tr>
      <w:tr w:rsidR="00855697" w14:paraId="7C4F183A" w14:textId="77777777">
        <w:trPr>
          <w:cantSplit/>
        </w:trPr>
        <w:tc>
          <w:tcPr>
            <w:tcW w:w="1063" w:type="dxa"/>
          </w:tcPr>
          <w:p w14:paraId="7F5C29A1" w14:textId="77777777" w:rsidR="00A37447" w:rsidRDefault="00A37447">
            <w:pPr>
              <w:keepNext/>
              <w:spacing w:after="20"/>
            </w:pPr>
            <w:r>
              <w:rPr>
                <w:sz w:val="17"/>
              </w:rPr>
              <w:t>Monto exportado (US$ millones)</w:t>
            </w:r>
          </w:p>
        </w:tc>
        <w:tc>
          <w:tcPr>
            <w:tcW w:w="1063" w:type="dxa"/>
            <w:noWrap/>
          </w:tcPr>
          <w:p w14:paraId="0DB5FE93" w14:textId="77777777" w:rsidR="00A37447" w:rsidRDefault="00A37447">
            <w:pPr>
              <w:keepNext/>
              <w:spacing w:after="20"/>
              <w:jc w:val="right"/>
            </w:pPr>
            <w:r>
              <w:rPr>
                <w:sz w:val="16"/>
              </w:rPr>
              <w:t>1.703</w:t>
            </w:r>
          </w:p>
        </w:tc>
        <w:tc>
          <w:tcPr>
            <w:tcW w:w="1063" w:type="dxa"/>
            <w:noWrap/>
          </w:tcPr>
          <w:p w14:paraId="19F41543" w14:textId="77777777" w:rsidR="00A37447" w:rsidRDefault="00A37447">
            <w:pPr>
              <w:keepNext/>
              <w:spacing w:after="20"/>
              <w:jc w:val="right"/>
            </w:pPr>
            <w:r>
              <w:rPr>
                <w:sz w:val="16"/>
              </w:rPr>
              <w:t>3.166</w:t>
            </w:r>
          </w:p>
        </w:tc>
        <w:tc>
          <w:tcPr>
            <w:tcW w:w="1063" w:type="dxa"/>
            <w:noWrap/>
          </w:tcPr>
          <w:p w14:paraId="43E0663C" w14:textId="77777777" w:rsidR="00A37447" w:rsidRDefault="00A37447">
            <w:pPr>
              <w:keepNext/>
              <w:spacing w:after="20"/>
              <w:jc w:val="right"/>
            </w:pPr>
            <w:r>
              <w:rPr>
                <w:sz w:val="16"/>
              </w:rPr>
              <w:t>1.540</w:t>
            </w:r>
          </w:p>
        </w:tc>
        <w:tc>
          <w:tcPr>
            <w:tcW w:w="1063" w:type="dxa"/>
            <w:noWrap/>
          </w:tcPr>
          <w:p w14:paraId="12BEDCCC" w14:textId="77777777" w:rsidR="00A37447" w:rsidRDefault="00A37447">
            <w:pPr>
              <w:keepNext/>
              <w:spacing w:after="20"/>
              <w:jc w:val="right"/>
            </w:pPr>
            <w:r>
              <w:rPr>
                <w:sz w:val="16"/>
              </w:rPr>
              <w:t>1.494</w:t>
            </w:r>
          </w:p>
        </w:tc>
        <w:tc>
          <w:tcPr>
            <w:tcW w:w="1063" w:type="dxa"/>
            <w:noWrap/>
          </w:tcPr>
          <w:p w14:paraId="3F293F26" w14:textId="77777777" w:rsidR="00A37447" w:rsidRDefault="00A37447">
            <w:pPr>
              <w:keepNext/>
              <w:spacing w:after="20"/>
              <w:jc w:val="right"/>
            </w:pPr>
            <w:r>
              <w:rPr>
                <w:sz w:val="16"/>
              </w:rPr>
              <w:t>1.415</w:t>
            </w:r>
          </w:p>
        </w:tc>
        <w:tc>
          <w:tcPr>
            <w:tcW w:w="1063" w:type="dxa"/>
            <w:noWrap/>
          </w:tcPr>
          <w:p w14:paraId="2C6861C2" w14:textId="77777777" w:rsidR="00A37447" w:rsidRDefault="00A37447">
            <w:pPr>
              <w:keepNext/>
              <w:spacing w:after="20"/>
              <w:jc w:val="right"/>
            </w:pPr>
            <w:r>
              <w:rPr>
                <w:sz w:val="16"/>
              </w:rPr>
              <w:t>-5,3 %</w:t>
            </w:r>
          </w:p>
        </w:tc>
        <w:tc>
          <w:tcPr>
            <w:tcW w:w="1063" w:type="dxa"/>
            <w:noWrap/>
          </w:tcPr>
          <w:p w14:paraId="3B7B17DC" w14:textId="77777777" w:rsidR="00A37447" w:rsidRDefault="00A37447">
            <w:pPr>
              <w:keepNext/>
              <w:spacing w:after="20"/>
              <w:jc w:val="right"/>
            </w:pPr>
            <w:r>
              <w:rPr>
                <w:sz w:val="16"/>
              </w:rPr>
              <w:t>-4,5 %</w:t>
            </w:r>
          </w:p>
        </w:tc>
      </w:tr>
      <w:tr w:rsidR="00855697" w14:paraId="550C3BE1" w14:textId="77777777">
        <w:trPr>
          <w:cantSplit/>
        </w:trPr>
        <w:tc>
          <w:tcPr>
            <w:tcW w:w="1063" w:type="dxa"/>
          </w:tcPr>
          <w:p w14:paraId="016169F3" w14:textId="77777777" w:rsidR="00A37447" w:rsidRPr="0036111A" w:rsidRDefault="00A37447">
            <w:pPr>
              <w:keepNext/>
              <w:spacing w:after="20"/>
              <w:rPr>
                <w:lang w:val="es-PE"/>
              </w:rPr>
            </w:pPr>
            <w:r w:rsidRPr="0036111A">
              <w:rPr>
                <w:sz w:val="17"/>
                <w:lang w:val="es-PE"/>
              </w:rPr>
              <w:t>Volumen exportado (millones de m³)</w:t>
            </w:r>
          </w:p>
        </w:tc>
        <w:tc>
          <w:tcPr>
            <w:tcW w:w="1063" w:type="dxa"/>
            <w:noWrap/>
          </w:tcPr>
          <w:p w14:paraId="112A52F1" w14:textId="77777777" w:rsidR="00A37447" w:rsidRDefault="00A37447">
            <w:pPr>
              <w:keepNext/>
              <w:spacing w:after="20"/>
              <w:jc w:val="right"/>
            </w:pPr>
            <w:r>
              <w:rPr>
                <w:sz w:val="16"/>
              </w:rPr>
              <w:t>5,7</w:t>
            </w:r>
          </w:p>
        </w:tc>
        <w:tc>
          <w:tcPr>
            <w:tcW w:w="1063" w:type="dxa"/>
            <w:noWrap/>
          </w:tcPr>
          <w:p w14:paraId="1FBC9BDB" w14:textId="77777777" w:rsidR="00A37447" w:rsidRDefault="00A37447">
            <w:pPr>
              <w:keepNext/>
              <w:spacing w:after="20"/>
              <w:jc w:val="right"/>
            </w:pPr>
            <w:r>
              <w:rPr>
                <w:sz w:val="16"/>
              </w:rPr>
              <w:t>7,7</w:t>
            </w:r>
          </w:p>
        </w:tc>
        <w:tc>
          <w:tcPr>
            <w:tcW w:w="1063" w:type="dxa"/>
            <w:noWrap/>
          </w:tcPr>
          <w:p w14:paraId="21B3D74C" w14:textId="77777777" w:rsidR="00A37447" w:rsidRDefault="00A37447">
            <w:pPr>
              <w:keepNext/>
              <w:spacing w:after="20"/>
              <w:jc w:val="right"/>
            </w:pPr>
            <w:r>
              <w:rPr>
                <w:sz w:val="16"/>
              </w:rPr>
              <w:t>8,2</w:t>
            </w:r>
          </w:p>
        </w:tc>
        <w:tc>
          <w:tcPr>
            <w:tcW w:w="1063" w:type="dxa"/>
            <w:noWrap/>
          </w:tcPr>
          <w:p w14:paraId="0B573952" w14:textId="77777777" w:rsidR="00A37447" w:rsidRDefault="00A37447">
            <w:pPr>
              <w:keepNext/>
              <w:spacing w:after="20"/>
              <w:jc w:val="right"/>
            </w:pPr>
            <w:r>
              <w:rPr>
                <w:sz w:val="16"/>
              </w:rPr>
              <w:t>8,9</w:t>
            </w:r>
          </w:p>
        </w:tc>
        <w:tc>
          <w:tcPr>
            <w:tcW w:w="1063" w:type="dxa"/>
            <w:noWrap/>
          </w:tcPr>
          <w:p w14:paraId="2C3EAB30" w14:textId="77777777" w:rsidR="00A37447" w:rsidRDefault="00A37447">
            <w:pPr>
              <w:keepNext/>
              <w:spacing w:after="20"/>
              <w:jc w:val="right"/>
            </w:pPr>
            <w:r>
              <w:rPr>
                <w:sz w:val="16"/>
              </w:rPr>
              <w:t>8,1</w:t>
            </w:r>
          </w:p>
        </w:tc>
        <w:tc>
          <w:tcPr>
            <w:tcW w:w="1063" w:type="dxa"/>
            <w:noWrap/>
          </w:tcPr>
          <w:p w14:paraId="7B3A0898" w14:textId="77777777" w:rsidR="00A37447" w:rsidRDefault="00A37447">
            <w:pPr>
              <w:keepNext/>
              <w:spacing w:after="20"/>
              <w:jc w:val="right"/>
            </w:pPr>
            <w:r>
              <w:rPr>
                <w:sz w:val="16"/>
              </w:rPr>
              <w:t>-9,4 %</w:t>
            </w:r>
          </w:p>
        </w:tc>
        <w:tc>
          <w:tcPr>
            <w:tcW w:w="1063" w:type="dxa"/>
            <w:noWrap/>
          </w:tcPr>
          <w:p w14:paraId="7C68A198" w14:textId="77777777" w:rsidR="00A37447" w:rsidRDefault="00A37447">
            <w:pPr>
              <w:keepNext/>
              <w:spacing w:after="20"/>
              <w:jc w:val="right"/>
            </w:pPr>
            <w:r>
              <w:rPr>
                <w:sz w:val="16"/>
              </w:rPr>
              <w:t>8,9 %</w:t>
            </w:r>
          </w:p>
        </w:tc>
      </w:tr>
      <w:tr w:rsidR="00855697" w14:paraId="68642C25" w14:textId="77777777">
        <w:trPr>
          <w:cantSplit/>
        </w:trPr>
        <w:tc>
          <w:tcPr>
            <w:tcW w:w="1063" w:type="dxa"/>
          </w:tcPr>
          <w:p w14:paraId="516203B9" w14:textId="77777777" w:rsidR="00A37447" w:rsidRDefault="00A37447">
            <w:pPr>
              <w:keepNext/>
              <w:spacing w:after="20"/>
            </w:pPr>
            <w:r>
              <w:rPr>
                <w:sz w:val="17"/>
              </w:rPr>
              <w:t>Volumen exportado (BBTU)</w:t>
            </w:r>
          </w:p>
        </w:tc>
        <w:tc>
          <w:tcPr>
            <w:tcW w:w="1063" w:type="dxa"/>
            <w:noWrap/>
          </w:tcPr>
          <w:p w14:paraId="3835BA02" w14:textId="77777777" w:rsidR="00A37447" w:rsidRDefault="00A37447">
            <w:pPr>
              <w:keepNext/>
              <w:spacing w:after="20"/>
              <w:jc w:val="right"/>
            </w:pPr>
            <w:r>
              <w:rPr>
                <w:sz w:val="16"/>
              </w:rPr>
              <w:t>133</w:t>
            </w:r>
          </w:p>
        </w:tc>
        <w:tc>
          <w:tcPr>
            <w:tcW w:w="1063" w:type="dxa"/>
            <w:noWrap/>
          </w:tcPr>
          <w:p w14:paraId="002DA47D" w14:textId="77777777" w:rsidR="00A37447" w:rsidRDefault="00A37447">
            <w:pPr>
              <w:keepNext/>
              <w:spacing w:after="20"/>
              <w:jc w:val="right"/>
            </w:pPr>
            <w:r>
              <w:rPr>
                <w:sz w:val="16"/>
              </w:rPr>
              <w:t>179</w:t>
            </w:r>
          </w:p>
        </w:tc>
        <w:tc>
          <w:tcPr>
            <w:tcW w:w="1063" w:type="dxa"/>
            <w:noWrap/>
          </w:tcPr>
          <w:p w14:paraId="720C0701" w14:textId="77777777" w:rsidR="00A37447" w:rsidRDefault="00A37447">
            <w:pPr>
              <w:keepNext/>
              <w:spacing w:after="20"/>
              <w:jc w:val="right"/>
            </w:pPr>
            <w:r>
              <w:rPr>
                <w:sz w:val="16"/>
              </w:rPr>
              <w:t>190</w:t>
            </w:r>
          </w:p>
        </w:tc>
        <w:tc>
          <w:tcPr>
            <w:tcW w:w="1063" w:type="dxa"/>
            <w:noWrap/>
          </w:tcPr>
          <w:p w14:paraId="5275A906" w14:textId="77777777" w:rsidR="00A37447" w:rsidRDefault="00A37447">
            <w:pPr>
              <w:keepNext/>
              <w:spacing w:after="20"/>
              <w:jc w:val="right"/>
            </w:pPr>
            <w:r>
              <w:rPr>
                <w:sz w:val="16"/>
              </w:rPr>
              <w:t>207</w:t>
            </w:r>
          </w:p>
        </w:tc>
        <w:tc>
          <w:tcPr>
            <w:tcW w:w="1063" w:type="dxa"/>
            <w:noWrap/>
          </w:tcPr>
          <w:p w14:paraId="06E2368E" w14:textId="77777777" w:rsidR="00A37447" w:rsidRDefault="00A37447">
            <w:pPr>
              <w:keepNext/>
              <w:spacing w:after="20"/>
              <w:jc w:val="right"/>
            </w:pPr>
            <w:r>
              <w:rPr>
                <w:sz w:val="16"/>
              </w:rPr>
              <w:t>187</w:t>
            </w:r>
          </w:p>
        </w:tc>
        <w:tc>
          <w:tcPr>
            <w:tcW w:w="1063" w:type="dxa"/>
            <w:noWrap/>
          </w:tcPr>
          <w:p w14:paraId="2F53A43A" w14:textId="77777777" w:rsidR="00A37447" w:rsidRDefault="00A37447">
            <w:pPr>
              <w:keepNext/>
              <w:spacing w:after="20"/>
              <w:jc w:val="right"/>
            </w:pPr>
            <w:r>
              <w:rPr>
                <w:sz w:val="16"/>
              </w:rPr>
              <w:t>-9,4 %</w:t>
            </w:r>
          </w:p>
        </w:tc>
        <w:tc>
          <w:tcPr>
            <w:tcW w:w="1063" w:type="dxa"/>
            <w:noWrap/>
          </w:tcPr>
          <w:p w14:paraId="36D01937" w14:textId="77777777" w:rsidR="00A37447" w:rsidRDefault="00A37447">
            <w:pPr>
              <w:keepNext/>
              <w:spacing w:after="20"/>
              <w:jc w:val="right"/>
            </w:pPr>
            <w:r>
              <w:rPr>
                <w:sz w:val="16"/>
              </w:rPr>
              <w:t>8,9 %</w:t>
            </w:r>
          </w:p>
        </w:tc>
      </w:tr>
      <w:tr w:rsidR="00855697" w14:paraId="73D6F9D7" w14:textId="77777777">
        <w:trPr>
          <w:cantSplit/>
        </w:trPr>
        <w:tc>
          <w:tcPr>
            <w:tcW w:w="1063" w:type="dxa"/>
          </w:tcPr>
          <w:p w14:paraId="65FE671F" w14:textId="77777777" w:rsidR="00A37447" w:rsidRDefault="00A37447">
            <w:pPr>
              <w:keepNext/>
              <w:spacing w:after="20"/>
            </w:pPr>
            <w:r>
              <w:rPr>
                <w:sz w:val="17"/>
              </w:rPr>
              <w:t>Precio promedio (US$/m³)</w:t>
            </w:r>
          </w:p>
        </w:tc>
        <w:tc>
          <w:tcPr>
            <w:tcW w:w="1063" w:type="dxa"/>
            <w:noWrap/>
          </w:tcPr>
          <w:p w14:paraId="6BC70EBD" w14:textId="77777777" w:rsidR="00A37447" w:rsidRDefault="00A37447">
            <w:pPr>
              <w:keepNext/>
              <w:spacing w:after="20"/>
              <w:jc w:val="right"/>
            </w:pPr>
            <w:r>
              <w:rPr>
                <w:sz w:val="16"/>
              </w:rPr>
              <w:t>297</w:t>
            </w:r>
          </w:p>
        </w:tc>
        <w:tc>
          <w:tcPr>
            <w:tcW w:w="1063" w:type="dxa"/>
            <w:noWrap/>
          </w:tcPr>
          <w:p w14:paraId="4E8D59E0" w14:textId="77777777" w:rsidR="00A37447" w:rsidRDefault="00A37447">
            <w:pPr>
              <w:keepNext/>
              <w:spacing w:after="20"/>
              <w:jc w:val="right"/>
            </w:pPr>
            <w:r>
              <w:rPr>
                <w:sz w:val="16"/>
              </w:rPr>
              <w:t>410</w:t>
            </w:r>
          </w:p>
        </w:tc>
        <w:tc>
          <w:tcPr>
            <w:tcW w:w="1063" w:type="dxa"/>
            <w:noWrap/>
          </w:tcPr>
          <w:p w14:paraId="1FBDD1E6" w14:textId="77777777" w:rsidR="00A37447" w:rsidRDefault="00A37447">
            <w:pPr>
              <w:keepNext/>
              <w:spacing w:after="20"/>
              <w:jc w:val="right"/>
            </w:pPr>
            <w:r>
              <w:rPr>
                <w:sz w:val="16"/>
              </w:rPr>
              <w:t>188</w:t>
            </w:r>
          </w:p>
        </w:tc>
        <w:tc>
          <w:tcPr>
            <w:tcW w:w="1063" w:type="dxa"/>
            <w:noWrap/>
          </w:tcPr>
          <w:p w14:paraId="502A3121" w14:textId="77777777" w:rsidR="00A37447" w:rsidRDefault="00A37447">
            <w:pPr>
              <w:keepNext/>
              <w:spacing w:after="20"/>
              <w:jc w:val="right"/>
            </w:pPr>
            <w:r>
              <w:rPr>
                <w:sz w:val="16"/>
              </w:rPr>
              <w:t>168</w:t>
            </w:r>
          </w:p>
        </w:tc>
        <w:tc>
          <w:tcPr>
            <w:tcW w:w="1063" w:type="dxa"/>
            <w:noWrap/>
          </w:tcPr>
          <w:p w14:paraId="7DABB140" w14:textId="77777777" w:rsidR="00A37447" w:rsidRDefault="00A37447">
            <w:pPr>
              <w:keepNext/>
              <w:spacing w:after="20"/>
              <w:jc w:val="right"/>
            </w:pPr>
            <w:r>
              <w:rPr>
                <w:sz w:val="16"/>
              </w:rPr>
              <w:t>175</w:t>
            </w:r>
          </w:p>
        </w:tc>
        <w:tc>
          <w:tcPr>
            <w:tcW w:w="1063" w:type="dxa"/>
            <w:noWrap/>
          </w:tcPr>
          <w:p w14:paraId="3EBBE487" w14:textId="77777777" w:rsidR="00A37447" w:rsidRDefault="00A37447">
            <w:pPr>
              <w:keepNext/>
              <w:spacing w:after="20"/>
              <w:jc w:val="right"/>
            </w:pPr>
            <w:r>
              <w:rPr>
                <w:sz w:val="16"/>
              </w:rPr>
              <w:t>4,6 %</w:t>
            </w:r>
          </w:p>
        </w:tc>
        <w:tc>
          <w:tcPr>
            <w:tcW w:w="1063" w:type="dxa"/>
            <w:noWrap/>
          </w:tcPr>
          <w:p w14:paraId="493AE7AF" w14:textId="77777777" w:rsidR="00A37447" w:rsidRDefault="00A37447">
            <w:pPr>
              <w:keepNext/>
              <w:spacing w:after="20"/>
              <w:jc w:val="right"/>
            </w:pPr>
            <w:r>
              <w:rPr>
                <w:sz w:val="16"/>
              </w:rPr>
              <w:t>-12,4 %</w:t>
            </w:r>
          </w:p>
        </w:tc>
      </w:tr>
      <w:tr w:rsidR="00855697" w14:paraId="06D2B0EF" w14:textId="77777777">
        <w:trPr>
          <w:cantSplit/>
        </w:trPr>
        <w:tc>
          <w:tcPr>
            <w:tcW w:w="1063" w:type="dxa"/>
          </w:tcPr>
          <w:p w14:paraId="193BA212" w14:textId="77777777" w:rsidR="00A37447" w:rsidRDefault="00A37447">
            <w:pPr>
              <w:keepNext/>
              <w:spacing w:after="20"/>
            </w:pPr>
            <w:r>
              <w:rPr>
                <w:sz w:val="17"/>
              </w:rPr>
              <w:t>Precio promedio (US$/MMBTU)</w:t>
            </w:r>
          </w:p>
        </w:tc>
        <w:tc>
          <w:tcPr>
            <w:tcW w:w="1063" w:type="dxa"/>
            <w:noWrap/>
          </w:tcPr>
          <w:p w14:paraId="1FC554D9" w14:textId="77777777" w:rsidR="00A37447" w:rsidRDefault="00A37447">
            <w:pPr>
              <w:keepNext/>
              <w:spacing w:after="20"/>
              <w:jc w:val="right"/>
            </w:pPr>
            <w:r>
              <w:rPr>
                <w:sz w:val="16"/>
              </w:rPr>
              <w:t>12,8</w:t>
            </w:r>
          </w:p>
        </w:tc>
        <w:tc>
          <w:tcPr>
            <w:tcW w:w="1063" w:type="dxa"/>
            <w:noWrap/>
          </w:tcPr>
          <w:p w14:paraId="7054C72B" w14:textId="77777777" w:rsidR="00A37447" w:rsidRDefault="00A37447">
            <w:pPr>
              <w:keepNext/>
              <w:spacing w:after="20"/>
              <w:jc w:val="right"/>
            </w:pPr>
            <w:r>
              <w:rPr>
                <w:sz w:val="16"/>
              </w:rPr>
              <w:t>17,7</w:t>
            </w:r>
          </w:p>
        </w:tc>
        <w:tc>
          <w:tcPr>
            <w:tcW w:w="1063" w:type="dxa"/>
            <w:noWrap/>
          </w:tcPr>
          <w:p w14:paraId="7F69C19E" w14:textId="77777777" w:rsidR="00A37447" w:rsidRDefault="00A37447">
            <w:pPr>
              <w:keepNext/>
              <w:spacing w:after="20"/>
              <w:jc w:val="right"/>
            </w:pPr>
            <w:r>
              <w:rPr>
                <w:sz w:val="16"/>
              </w:rPr>
              <w:t>8,1</w:t>
            </w:r>
          </w:p>
        </w:tc>
        <w:tc>
          <w:tcPr>
            <w:tcW w:w="1063" w:type="dxa"/>
            <w:noWrap/>
          </w:tcPr>
          <w:p w14:paraId="1735B420" w14:textId="77777777" w:rsidR="00A37447" w:rsidRDefault="00A37447">
            <w:pPr>
              <w:keepNext/>
              <w:spacing w:after="20"/>
              <w:jc w:val="right"/>
            </w:pPr>
            <w:r>
              <w:rPr>
                <w:sz w:val="16"/>
              </w:rPr>
              <w:t>7,2</w:t>
            </w:r>
          </w:p>
        </w:tc>
        <w:tc>
          <w:tcPr>
            <w:tcW w:w="1063" w:type="dxa"/>
            <w:noWrap/>
          </w:tcPr>
          <w:p w14:paraId="024BEE7E" w14:textId="77777777" w:rsidR="00A37447" w:rsidRDefault="00A37447">
            <w:pPr>
              <w:keepNext/>
              <w:spacing w:after="20"/>
              <w:jc w:val="right"/>
            </w:pPr>
            <w:r>
              <w:rPr>
                <w:sz w:val="16"/>
              </w:rPr>
              <w:t>7,6</w:t>
            </w:r>
          </w:p>
        </w:tc>
        <w:tc>
          <w:tcPr>
            <w:tcW w:w="1063" w:type="dxa"/>
            <w:noWrap/>
          </w:tcPr>
          <w:p w14:paraId="36091A76" w14:textId="77777777" w:rsidR="00A37447" w:rsidRDefault="00A37447">
            <w:pPr>
              <w:keepNext/>
              <w:spacing w:after="20"/>
              <w:jc w:val="right"/>
            </w:pPr>
            <w:r>
              <w:rPr>
                <w:sz w:val="16"/>
              </w:rPr>
              <w:t>4,5 %</w:t>
            </w:r>
          </w:p>
        </w:tc>
        <w:tc>
          <w:tcPr>
            <w:tcW w:w="1063" w:type="dxa"/>
            <w:noWrap/>
          </w:tcPr>
          <w:p w14:paraId="1648EDAD" w14:textId="77777777" w:rsidR="00A37447" w:rsidRDefault="00A37447">
            <w:pPr>
              <w:keepNext/>
              <w:spacing w:after="20"/>
              <w:jc w:val="right"/>
            </w:pPr>
            <w:r>
              <w:rPr>
                <w:sz w:val="16"/>
              </w:rPr>
              <w:t>-12,4 %</w:t>
            </w:r>
          </w:p>
        </w:tc>
      </w:tr>
      <w:tr w:rsidR="00855697" w14:paraId="60B3A4F5" w14:textId="77777777">
        <w:trPr>
          <w:cantSplit/>
        </w:trPr>
        <w:tc>
          <w:tcPr>
            <w:tcW w:w="1063" w:type="dxa"/>
          </w:tcPr>
          <w:p w14:paraId="5BDA854F" w14:textId="77777777" w:rsidR="00A37447" w:rsidRDefault="00A37447">
            <w:pPr>
              <w:keepNext/>
              <w:spacing w:after="20"/>
            </w:pPr>
            <w:r>
              <w:rPr>
                <w:sz w:val="17"/>
              </w:rPr>
              <w:t>Regalía promedio (US$/MMBTU)</w:t>
            </w:r>
          </w:p>
        </w:tc>
        <w:tc>
          <w:tcPr>
            <w:tcW w:w="1063" w:type="dxa"/>
            <w:noWrap/>
          </w:tcPr>
          <w:p w14:paraId="69390249" w14:textId="77777777" w:rsidR="00A37447" w:rsidRDefault="00A37447">
            <w:pPr>
              <w:keepNext/>
              <w:spacing w:after="20"/>
              <w:jc w:val="right"/>
            </w:pPr>
            <w:r>
              <w:rPr>
                <w:sz w:val="16"/>
              </w:rPr>
              <w:t>3,2</w:t>
            </w:r>
          </w:p>
        </w:tc>
        <w:tc>
          <w:tcPr>
            <w:tcW w:w="1063" w:type="dxa"/>
            <w:noWrap/>
          </w:tcPr>
          <w:p w14:paraId="4B199B83" w14:textId="77777777" w:rsidR="00A37447" w:rsidRDefault="00A37447">
            <w:pPr>
              <w:keepNext/>
              <w:spacing w:after="20"/>
              <w:jc w:val="right"/>
            </w:pPr>
            <w:r>
              <w:rPr>
                <w:sz w:val="16"/>
              </w:rPr>
              <w:t>4,7</w:t>
            </w:r>
          </w:p>
        </w:tc>
        <w:tc>
          <w:tcPr>
            <w:tcW w:w="1063" w:type="dxa"/>
            <w:noWrap/>
          </w:tcPr>
          <w:p w14:paraId="306FC722" w14:textId="77777777" w:rsidR="00A37447" w:rsidRDefault="00A37447">
            <w:pPr>
              <w:keepNext/>
              <w:spacing w:after="20"/>
              <w:jc w:val="right"/>
            </w:pPr>
            <w:r>
              <w:rPr>
                <w:sz w:val="16"/>
              </w:rPr>
              <w:t>1,8</w:t>
            </w:r>
          </w:p>
        </w:tc>
        <w:tc>
          <w:tcPr>
            <w:tcW w:w="1063" w:type="dxa"/>
            <w:noWrap/>
          </w:tcPr>
          <w:p w14:paraId="4B373553" w14:textId="77777777" w:rsidR="00A37447" w:rsidRDefault="00A37447">
            <w:pPr>
              <w:keepNext/>
              <w:spacing w:after="20"/>
              <w:jc w:val="right"/>
            </w:pPr>
            <w:r>
              <w:rPr>
                <w:sz w:val="16"/>
              </w:rPr>
              <w:t>1,7</w:t>
            </w:r>
          </w:p>
        </w:tc>
        <w:tc>
          <w:tcPr>
            <w:tcW w:w="1063" w:type="dxa"/>
            <w:noWrap/>
          </w:tcPr>
          <w:p w14:paraId="2005800E" w14:textId="77777777" w:rsidR="00A37447" w:rsidRDefault="00A37447">
            <w:pPr>
              <w:keepNext/>
              <w:spacing w:after="20"/>
              <w:jc w:val="right"/>
            </w:pPr>
            <w:r>
              <w:rPr>
                <w:sz w:val="16"/>
              </w:rPr>
              <w:t>1,7</w:t>
            </w:r>
          </w:p>
        </w:tc>
        <w:tc>
          <w:tcPr>
            <w:tcW w:w="1063" w:type="dxa"/>
            <w:noWrap/>
          </w:tcPr>
          <w:p w14:paraId="0E0E56D5" w14:textId="77777777" w:rsidR="00A37447" w:rsidRDefault="00A37447">
            <w:pPr>
              <w:keepNext/>
              <w:spacing w:after="20"/>
              <w:jc w:val="right"/>
            </w:pPr>
            <w:r>
              <w:rPr>
                <w:sz w:val="16"/>
              </w:rPr>
              <w:t>3,5 %</w:t>
            </w:r>
          </w:p>
        </w:tc>
        <w:tc>
          <w:tcPr>
            <w:tcW w:w="1063" w:type="dxa"/>
            <w:noWrap/>
          </w:tcPr>
          <w:p w14:paraId="5725D044" w14:textId="77777777" w:rsidR="00A37447" w:rsidRDefault="00A37447">
            <w:pPr>
              <w:keepNext/>
              <w:spacing w:after="20"/>
              <w:jc w:val="right"/>
            </w:pPr>
            <w:r>
              <w:rPr>
                <w:sz w:val="16"/>
              </w:rPr>
              <w:t>-14,1 %</w:t>
            </w:r>
          </w:p>
        </w:tc>
      </w:tr>
      <w:tr w:rsidR="00855697" w14:paraId="01273894" w14:textId="77777777">
        <w:trPr>
          <w:cantSplit/>
        </w:trPr>
        <w:tc>
          <w:tcPr>
            <w:tcW w:w="1063" w:type="dxa"/>
          </w:tcPr>
          <w:p w14:paraId="66CC2631" w14:textId="6F8B69EC" w:rsidR="00A37447" w:rsidRDefault="00A37447">
            <w:pPr>
              <w:keepNext/>
              <w:spacing w:after="20"/>
            </w:pPr>
            <w:r>
              <w:rPr>
                <w:sz w:val="17"/>
              </w:rPr>
              <w:t>Número de embarques (cantidad)</w:t>
            </w:r>
          </w:p>
        </w:tc>
        <w:tc>
          <w:tcPr>
            <w:tcW w:w="1063" w:type="dxa"/>
            <w:noWrap/>
          </w:tcPr>
          <w:p w14:paraId="40E201D0" w14:textId="77777777" w:rsidR="00A37447" w:rsidRDefault="00A37447">
            <w:pPr>
              <w:keepNext/>
              <w:spacing w:after="20"/>
              <w:jc w:val="right"/>
            </w:pPr>
            <w:r>
              <w:rPr>
                <w:sz w:val="16"/>
              </w:rPr>
              <w:t>39</w:t>
            </w:r>
          </w:p>
        </w:tc>
        <w:tc>
          <w:tcPr>
            <w:tcW w:w="1063" w:type="dxa"/>
            <w:noWrap/>
          </w:tcPr>
          <w:p w14:paraId="396C6480" w14:textId="77777777" w:rsidR="00A37447" w:rsidRDefault="00A37447">
            <w:pPr>
              <w:keepNext/>
              <w:spacing w:after="20"/>
              <w:jc w:val="right"/>
            </w:pPr>
            <w:r>
              <w:rPr>
                <w:sz w:val="16"/>
              </w:rPr>
              <w:t>51</w:t>
            </w:r>
          </w:p>
        </w:tc>
        <w:tc>
          <w:tcPr>
            <w:tcW w:w="1063" w:type="dxa"/>
            <w:noWrap/>
          </w:tcPr>
          <w:p w14:paraId="0E585779" w14:textId="77777777" w:rsidR="00A37447" w:rsidRDefault="00A37447">
            <w:pPr>
              <w:keepNext/>
              <w:spacing w:after="20"/>
              <w:jc w:val="right"/>
            </w:pPr>
            <w:r>
              <w:rPr>
                <w:sz w:val="16"/>
              </w:rPr>
              <w:t>65</w:t>
            </w:r>
          </w:p>
        </w:tc>
        <w:tc>
          <w:tcPr>
            <w:tcW w:w="1063" w:type="dxa"/>
            <w:noWrap/>
          </w:tcPr>
          <w:p w14:paraId="6E206FAE" w14:textId="77777777" w:rsidR="00A37447" w:rsidRDefault="00A37447">
            <w:pPr>
              <w:keepNext/>
              <w:spacing w:after="20"/>
              <w:jc w:val="right"/>
            </w:pPr>
            <w:r>
              <w:rPr>
                <w:sz w:val="16"/>
              </w:rPr>
              <w:t>71</w:t>
            </w:r>
          </w:p>
        </w:tc>
        <w:tc>
          <w:tcPr>
            <w:tcW w:w="1063" w:type="dxa"/>
            <w:noWrap/>
          </w:tcPr>
          <w:p w14:paraId="6D696549" w14:textId="77777777" w:rsidR="00A37447" w:rsidRDefault="00A37447">
            <w:pPr>
              <w:keepNext/>
              <w:spacing w:after="20"/>
              <w:jc w:val="right"/>
            </w:pPr>
            <w:r>
              <w:rPr>
                <w:sz w:val="16"/>
              </w:rPr>
              <w:t>77</w:t>
            </w:r>
          </w:p>
        </w:tc>
        <w:tc>
          <w:tcPr>
            <w:tcW w:w="1063" w:type="dxa"/>
            <w:noWrap/>
          </w:tcPr>
          <w:p w14:paraId="7F5FA41E" w14:textId="77777777" w:rsidR="00A37447" w:rsidRDefault="00A37447">
            <w:pPr>
              <w:keepNext/>
              <w:spacing w:after="20"/>
              <w:jc w:val="right"/>
            </w:pPr>
            <w:r>
              <w:rPr>
                <w:sz w:val="16"/>
              </w:rPr>
              <w:t>8,5 %</w:t>
            </w:r>
          </w:p>
        </w:tc>
        <w:tc>
          <w:tcPr>
            <w:tcW w:w="1063" w:type="dxa"/>
            <w:noWrap/>
          </w:tcPr>
          <w:p w14:paraId="132803D2" w14:textId="77777777" w:rsidR="00A37447" w:rsidRDefault="00A37447">
            <w:pPr>
              <w:keepNext/>
              <w:spacing w:after="20"/>
              <w:jc w:val="right"/>
            </w:pPr>
            <w:r>
              <w:rPr>
                <w:sz w:val="16"/>
              </w:rPr>
              <w:t>18,5 %</w:t>
            </w:r>
          </w:p>
        </w:tc>
      </w:tr>
    </w:tbl>
    <w:p w14:paraId="58B23C76" w14:textId="77777777" w:rsidR="00A37447" w:rsidRDefault="00A37447">
      <w:pPr>
        <w:keepLines/>
        <w:spacing w:before="40"/>
        <w:jc w:val="right"/>
      </w:pPr>
      <w:r>
        <w:rPr>
          <w:b/>
          <w:color w:val="404040"/>
          <w:sz w:val="15"/>
        </w:rPr>
        <w:t>FUENTE: BCR, Perupetro</w:t>
      </w:r>
    </w:p>
    <w:p w14:paraId="48C66BA3" w14:textId="218A4107" w:rsidR="00A37447" w:rsidRPr="0036111A" w:rsidRDefault="00A37447">
      <w:pPr>
        <w:keepLines/>
        <w:rPr>
          <w:lang w:val="es-PE"/>
        </w:rPr>
      </w:pPr>
      <w:r w:rsidRPr="0036111A">
        <w:rPr>
          <w:lang w:val="es-PE"/>
        </w:rPr>
        <w:t xml:space="preserve">Las cotizaciones internacionales de referencia para el GNL </w:t>
      </w:r>
      <w:r>
        <w:rPr>
          <w:lang w:val="es-PE"/>
        </w:rPr>
        <w:t>–</w:t>
      </w:r>
      <w:r w:rsidRPr="0036111A">
        <w:rPr>
          <w:lang w:val="es-PE"/>
        </w:rPr>
        <w:t>principalmente el Japan Korea Marker (JKM, Asia) y el Title Transfer Facility (TTF, Europa)</w:t>
      </w:r>
      <w:r>
        <w:rPr>
          <w:lang w:val="es-PE"/>
        </w:rPr>
        <w:t>–</w:t>
      </w:r>
      <w:r w:rsidRPr="0036111A">
        <w:rPr>
          <w:lang w:val="es-PE"/>
        </w:rPr>
        <w:t xml:space="preserve"> se mantuvieron en niveles moderados durante 2025. La demanda asiática siguió siendo el principal motor del mercado, con China ampliando su capacidad de regasificación y Japón y Corea del Sur manteniendo volúmenes estables. En Europa, el proceso de diversificación energética de la Unión Europea para reducir la dependencia del gas ruso continuó favoreciendo la demanda de GNL de largo alcance. Los destinos de exportación se mantuvieron liderados por Asia: Corea del Sur (29 %), Japón (19 %) y China (14 %) concentraron en conjunto el 62 % del valor exportado. Con todo, la canasta de destinos es hoy menos concentrada que en 2021, cuando el Reino Unido </w:t>
      </w:r>
      <w:r>
        <w:rPr>
          <w:lang w:val="es-PE"/>
        </w:rPr>
        <w:t>–</w:t>
      </w:r>
      <w:r w:rsidRPr="0036111A">
        <w:rPr>
          <w:lang w:val="es-PE"/>
        </w:rPr>
        <w:t>entonces principal puerta de entrada del GNL a Europa</w:t>
      </w:r>
      <w:r>
        <w:rPr>
          <w:lang w:val="es-PE"/>
        </w:rPr>
        <w:t>–</w:t>
      </w:r>
      <w:r w:rsidRPr="0036111A">
        <w:rPr>
          <w:lang w:val="es-PE"/>
        </w:rPr>
        <w:t xml:space="preserve"> representaba por sí solo el 44 % del valor exportado. Europa ganó participación con España (12 %), Francia (11 %) y los Países Bajos (8 %) como principales destinos, mientras </w:t>
      </w:r>
      <w:r>
        <w:rPr>
          <w:lang w:val="es-PE"/>
        </w:rPr>
        <w:t xml:space="preserve">que </w:t>
      </w:r>
      <w:r w:rsidRPr="0036111A">
        <w:rPr>
          <w:lang w:val="es-PE"/>
        </w:rPr>
        <w:t>el Reino Unido redujo su peso a 4 %</w:t>
      </w:r>
      <w:r w:rsidR="0078729E">
        <w:rPr>
          <w:lang w:val="es-PE"/>
        </w:rPr>
        <w:t>.</w:t>
      </w:r>
    </w:p>
    <w:p w14:paraId="67C81463" w14:textId="77777777" w:rsidR="00C75A27" w:rsidRDefault="00D4093E">
      <w:pPr>
        <w:spacing w:before="160"/>
        <w:jc w:val="center"/>
      </w:pPr>
      <w:r>
        <w:rPr>
          <w:noProof/>
        </w:rPr>
        <w:lastRenderedPageBreak/>
        <w:drawing>
          <wp:inline distT="0" distB="0" distL="0" distR="0" wp14:anchorId="47DA3B4B" wp14:editId="1A21985F">
            <wp:extent cx="4320000" cy="2893526"/>
            <wp:effectExtent l="0" t="0" r="0" b="0"/>
            <wp:docPr id="90052" name="Picture 9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39.png"/>
                    <pic:cNvPicPr/>
                  </pic:nvPicPr>
                  <pic:blipFill>
                    <a:blip r:embed="rId46"/>
                    <a:stretch>
                      <a:fillRect/>
                    </a:stretch>
                  </pic:blipFill>
                  <pic:spPr>
                    <a:xfrm>
                      <a:off x="0" y="0"/>
                      <a:ext cx="4320000" cy="2893526"/>
                    </a:xfrm>
                    <a:prstGeom prst="rect">
                      <a:avLst/>
                    </a:prstGeom>
                  </pic:spPr>
                </pic:pic>
              </a:graphicData>
            </a:graphic>
          </wp:inline>
        </w:drawing>
      </w:r>
    </w:p>
    <w:p w14:paraId="01C2FFA6" w14:textId="77777777" w:rsidR="00C75A27" w:rsidRDefault="00D4093E">
      <w:pPr>
        <w:spacing w:before="160"/>
        <w:jc w:val="center"/>
      </w:pPr>
      <w:r>
        <w:rPr>
          <w:noProof/>
        </w:rPr>
        <w:drawing>
          <wp:inline distT="0" distB="0" distL="0" distR="0" wp14:anchorId="15DF2C1D" wp14:editId="2DABFF78">
            <wp:extent cx="4320000" cy="2828313"/>
            <wp:effectExtent l="0" t="0" r="0" b="0"/>
            <wp:docPr id="90053" name="Picture 9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40.png"/>
                    <pic:cNvPicPr/>
                  </pic:nvPicPr>
                  <pic:blipFill>
                    <a:blip r:embed="rId47"/>
                    <a:stretch>
                      <a:fillRect/>
                    </a:stretch>
                  </pic:blipFill>
                  <pic:spPr>
                    <a:xfrm>
                      <a:off x="0" y="0"/>
                      <a:ext cx="4320000" cy="2828313"/>
                    </a:xfrm>
                    <a:prstGeom prst="rect">
                      <a:avLst/>
                    </a:prstGeom>
                  </pic:spPr>
                </pic:pic>
              </a:graphicData>
            </a:graphic>
          </wp:inline>
        </w:drawing>
      </w:r>
    </w:p>
    <w:p w14:paraId="0F77FDE1" w14:textId="77777777" w:rsidR="00C75A27" w:rsidRDefault="00D4093E">
      <w:pPr>
        <w:spacing w:before="160"/>
        <w:jc w:val="center"/>
      </w:pPr>
      <w:r>
        <w:rPr>
          <w:noProof/>
        </w:rPr>
        <w:drawing>
          <wp:inline distT="0" distB="0" distL="0" distR="0" wp14:anchorId="15DF2C1D" wp14:editId="2DABFF78">
            <wp:extent cx="4320000" cy="2835286"/>
            <wp:effectExtent l="0" t="0" r="0" b="0"/>
            <wp:docPr id="2110891784" name="Imagen 2110891784" descr="2021: Exportaciones de gas natural licuado por dest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40.png"/>
                    <pic:cNvPicPr/>
                  </pic:nvPicPr>
                  <pic:blipFill>
                    <a:blip r:embed="rId48"/>
                    <a:stretch>
                      <a:fillRect/>
                    </a:stretch>
                  </pic:blipFill>
                  <pic:spPr>
                    <a:xfrm>
                      <a:off x="0" y="0"/>
                      <a:ext cx="4320000" cy="2835286"/>
                    </a:xfrm>
                    <a:prstGeom prst="rect">
                      <a:avLst/>
                    </a:prstGeom>
                  </pic:spPr>
                </pic:pic>
              </a:graphicData>
            </a:graphic>
          </wp:inline>
        </w:drawing>
      </w:r>
    </w:p>
    <w:p w14:paraId="74040EBE" w14:textId="6FA4F0D3" w:rsidR="00A37447" w:rsidRDefault="00A37447">
      <w:pPr>
        <w:spacing w:before="160"/>
        <w:jc w:val="center"/>
      </w:pPr>
    </w:p>
    <w:p w14:paraId="7C3F73C2" w14:textId="77777777" w:rsidR="00A37447" w:rsidRPr="0036111A" w:rsidRDefault="00A37447">
      <w:pPr>
        <w:keepLines/>
        <w:rPr>
          <w:lang w:val="es-PE"/>
        </w:rPr>
      </w:pPr>
      <w:r w:rsidRPr="0036111A">
        <w:rPr>
          <w:lang w:val="es-PE"/>
        </w:rPr>
        <w:t>El GNL representó el 43 % de las exportaciones totales de hidrocarburos en 2025, por encima del 37 % registrado en 2024, en parte debido a la fuerte caída del valor exportado de petróleo crudo y derivados (-25 %). En términos absolutos, el gas natural licuado se mantuvo entre los principales productos de exportación del país.</w:t>
      </w:r>
    </w:p>
    <w:p w14:paraId="2948D5A2" w14:textId="5BA8AFCE" w:rsidR="00A37447" w:rsidRDefault="00A37447">
      <w:pPr>
        <w:spacing w:before="160"/>
        <w:jc w:val="center"/>
      </w:pPr>
      <w:r>
        <w:rPr>
          <w:noProof/>
        </w:rPr>
        <w:drawing>
          <wp:inline distT="0" distB="0" distL="0" distR="0" wp14:anchorId="3A747B81" wp14:editId="21B2E6B2">
            <wp:extent cx="4320000" cy="2803172"/>
            <wp:effectExtent l="0" t="0" r="0" b="0"/>
            <wp:docPr id="90054" name="Picture 9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42.png"/>
                    <pic:cNvPicPr/>
                  </pic:nvPicPr>
                  <pic:blipFill>
                    <a:blip r:embed="rId49"/>
                    <a:stretch>
                      <a:fillRect/>
                    </a:stretch>
                  </pic:blipFill>
                  <pic:spPr>
                    <a:xfrm>
                      <a:off x="0" y="0"/>
                      <a:ext cx="4320000" cy="2803172"/>
                    </a:xfrm>
                    <a:prstGeom prst="rect">
                      <a:avLst/>
                    </a:prstGeom>
                  </pic:spPr>
                </pic:pic>
              </a:graphicData>
            </a:graphic>
          </wp:inline>
        </w:drawing>
      </w:r>
    </w:p>
    <w:p w14:paraId="6A3880F0" w14:textId="21F0A39C" w:rsidR="00A37447" w:rsidRDefault="00A37447">
      <w:pPr>
        <w:spacing w:before="160"/>
        <w:jc w:val="center"/>
      </w:pPr>
      <w:r>
        <w:rPr>
          <w:noProof/>
        </w:rPr>
        <w:drawing>
          <wp:inline distT="0" distB="0" distL="0" distR="0" wp14:anchorId="6749048B" wp14:editId="77402614">
            <wp:extent cx="4320000" cy="2679336"/>
            <wp:effectExtent l="0" t="0" r="0" b="0"/>
            <wp:docPr id="90055" name="Picture 9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43.png"/>
                    <pic:cNvPicPr/>
                  </pic:nvPicPr>
                  <pic:blipFill>
                    <a:blip r:embed="rId50"/>
                    <a:stretch>
                      <a:fillRect/>
                    </a:stretch>
                  </pic:blipFill>
                  <pic:spPr>
                    <a:xfrm>
                      <a:off x="0" y="0"/>
                      <a:ext cx="4320000" cy="2679336"/>
                    </a:xfrm>
                    <a:prstGeom prst="rect">
                      <a:avLst/>
                    </a:prstGeom>
                  </pic:spPr>
                </pic:pic>
              </a:graphicData>
            </a:graphic>
          </wp:inline>
        </w:drawing>
      </w:r>
    </w:p>
    <w:p w14:paraId="14B77645" w14:textId="77777777" w:rsidR="00A37447" w:rsidRDefault="00A37447"/>
    <w:p w14:paraId="435475E7" w14:textId="77777777" w:rsidR="00A37447" w:rsidRPr="0036111A" w:rsidRDefault="00A37447">
      <w:pPr>
        <w:pStyle w:val="Ttulo3"/>
        <w:pageBreakBefore/>
        <w:rPr>
          <w:lang w:val="es-PE"/>
        </w:rPr>
      </w:pPr>
      <w:bookmarkStart w:id="14" w:name="_Toc235083025"/>
      <w:r w:rsidRPr="0036111A">
        <w:rPr>
          <w:lang w:val="es-PE"/>
        </w:rPr>
        <w:lastRenderedPageBreak/>
        <w:t>3.2.6. Distribución y comercialización</w:t>
      </w:r>
      <w:bookmarkEnd w:id="14"/>
    </w:p>
    <w:p w14:paraId="1A3BEB0C" w14:textId="77777777" w:rsidR="00A37447" w:rsidRPr="0036111A" w:rsidRDefault="00A37447">
      <w:pPr>
        <w:pStyle w:val="Ttulo4"/>
        <w:rPr>
          <w:lang w:val="es-PE"/>
        </w:rPr>
      </w:pPr>
      <w:r w:rsidRPr="0036111A">
        <w:rPr>
          <w:lang w:val="es-PE"/>
        </w:rPr>
        <w:t>3.2.6.1. Consumo de gas natural</w:t>
      </w:r>
    </w:p>
    <w:p w14:paraId="43FA6534" w14:textId="14028F89" w:rsidR="00A37447" w:rsidRPr="0036111A" w:rsidRDefault="00A37447">
      <w:pPr>
        <w:keepLines/>
        <w:rPr>
          <w:lang w:val="es-PE"/>
        </w:rPr>
      </w:pPr>
      <w:r w:rsidRPr="0036111A">
        <w:rPr>
          <w:lang w:val="es-PE"/>
        </w:rPr>
        <w:t xml:space="preserve">En 2025, el consumo de gas natural en el Perú totalizó aproximadamente 1.319 MMpcd, una caída de 4 % respecto a los 1.381 MMpcd de 2024. El retroceso se concentró en la generación eléctrica y en las exportaciones, mientras que el consumo industrial avanzó ligeramente y los segmentos vinculados a la masificación (residencial y comercial y gas natural vehicular, GNV) mantuvieron crecimientos sólidos. Con ello, el consumo total conserva una tendencia expansiva de mediano plazo, con un crecimiento promedio anual de </w:t>
      </w:r>
      <w:r w:rsidR="0050250F">
        <w:rPr>
          <w:lang w:val="es-PE"/>
        </w:rPr>
        <w:t>casi 5</w:t>
      </w:r>
      <w:r w:rsidRPr="0036111A">
        <w:rPr>
          <w:lang w:val="es-PE"/>
        </w:rPr>
        <w:t xml:space="preserve"> % desde </w:t>
      </w:r>
      <w:r w:rsidR="0050250F">
        <w:rPr>
          <w:lang w:val="es-PE"/>
        </w:rPr>
        <w:t>2021</w:t>
      </w:r>
      <w:r w:rsidRPr="0036111A">
        <w:rPr>
          <w:lang w:val="es-PE"/>
        </w:rPr>
        <w:t>.</w:t>
      </w:r>
    </w:p>
    <w:p w14:paraId="78095248" w14:textId="77777777" w:rsidR="00A37447" w:rsidRPr="0036111A" w:rsidRDefault="00A37447">
      <w:pPr>
        <w:keepNext/>
        <w:keepLines/>
        <w:spacing w:before="120" w:after="20"/>
        <w:rPr>
          <w:lang w:val="es-PE"/>
        </w:rPr>
      </w:pPr>
      <w:r w:rsidRPr="0036111A">
        <w:rPr>
          <w:b/>
          <w:color w:val="00838F"/>
          <w:sz w:val="20"/>
          <w:lang w:val="es-PE"/>
        </w:rPr>
        <w:t>CONSUMO DE GAS NATURAL POR SEGMENTO</w:t>
      </w:r>
    </w:p>
    <w:p w14:paraId="18A67E8F" w14:textId="77777777" w:rsidR="00A37447" w:rsidRDefault="00A37447">
      <w:pPr>
        <w:keepNext/>
        <w:keepLines/>
        <w:spacing w:after="60"/>
      </w:pPr>
      <w:r>
        <w:rPr>
          <w:i/>
          <w:sz w:val="17"/>
        </w:rPr>
        <w:t>Millones de pies cúbicos diarios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2582"/>
        <w:gridCol w:w="800"/>
        <w:gridCol w:w="800"/>
        <w:gridCol w:w="800"/>
        <w:gridCol w:w="800"/>
        <w:gridCol w:w="800"/>
        <w:gridCol w:w="1016"/>
        <w:gridCol w:w="908"/>
      </w:tblGrid>
      <w:tr w:rsidR="00855697" w14:paraId="5A32CB09" w14:textId="77777777">
        <w:trPr>
          <w:cantSplit/>
          <w:tblHeader/>
        </w:trPr>
        <w:tc>
          <w:tcPr>
            <w:tcW w:w="2582" w:type="dxa"/>
            <w:shd w:val="clear" w:color="auto" w:fill="1F3864"/>
          </w:tcPr>
          <w:p w14:paraId="4651E4BA" w14:textId="77777777" w:rsidR="00A37447" w:rsidRDefault="00A37447">
            <w:pPr>
              <w:keepNext/>
            </w:pPr>
            <w:r>
              <w:rPr>
                <w:b/>
                <w:color w:val="FFFFFF"/>
                <w:sz w:val="17"/>
              </w:rPr>
              <w:t>Segmento</w:t>
            </w:r>
          </w:p>
        </w:tc>
        <w:tc>
          <w:tcPr>
            <w:tcW w:w="800" w:type="dxa"/>
            <w:shd w:val="clear" w:color="auto" w:fill="1F3864"/>
            <w:noWrap/>
          </w:tcPr>
          <w:p w14:paraId="4EC096ED" w14:textId="77777777" w:rsidR="00A37447" w:rsidRDefault="00A37447">
            <w:pPr>
              <w:keepNext/>
              <w:jc w:val="right"/>
            </w:pPr>
            <w:r>
              <w:rPr>
                <w:b/>
                <w:color w:val="FFFFFF"/>
                <w:sz w:val="17"/>
              </w:rPr>
              <w:t>2021</w:t>
            </w:r>
          </w:p>
        </w:tc>
        <w:tc>
          <w:tcPr>
            <w:tcW w:w="800" w:type="dxa"/>
            <w:shd w:val="clear" w:color="auto" w:fill="1F3864"/>
            <w:noWrap/>
          </w:tcPr>
          <w:p w14:paraId="4D6AD664" w14:textId="77777777" w:rsidR="00A37447" w:rsidRDefault="00A37447">
            <w:pPr>
              <w:keepNext/>
              <w:jc w:val="right"/>
            </w:pPr>
            <w:r>
              <w:rPr>
                <w:b/>
                <w:color w:val="FFFFFF"/>
                <w:sz w:val="17"/>
              </w:rPr>
              <w:t>2022</w:t>
            </w:r>
          </w:p>
        </w:tc>
        <w:tc>
          <w:tcPr>
            <w:tcW w:w="800" w:type="dxa"/>
            <w:shd w:val="clear" w:color="auto" w:fill="1F3864"/>
            <w:noWrap/>
          </w:tcPr>
          <w:p w14:paraId="16AFA16F" w14:textId="77777777" w:rsidR="00A37447" w:rsidRDefault="00A37447">
            <w:pPr>
              <w:keepNext/>
              <w:jc w:val="right"/>
            </w:pPr>
            <w:r>
              <w:rPr>
                <w:b/>
                <w:color w:val="FFFFFF"/>
                <w:sz w:val="17"/>
              </w:rPr>
              <w:t>2023</w:t>
            </w:r>
          </w:p>
        </w:tc>
        <w:tc>
          <w:tcPr>
            <w:tcW w:w="800" w:type="dxa"/>
            <w:shd w:val="clear" w:color="auto" w:fill="1F3864"/>
            <w:noWrap/>
          </w:tcPr>
          <w:p w14:paraId="6AD0D066" w14:textId="77777777" w:rsidR="00A37447" w:rsidRDefault="00A37447">
            <w:pPr>
              <w:keepNext/>
              <w:jc w:val="right"/>
            </w:pPr>
            <w:r>
              <w:rPr>
                <w:b/>
                <w:color w:val="FFFFFF"/>
                <w:sz w:val="17"/>
              </w:rPr>
              <w:t>2024</w:t>
            </w:r>
          </w:p>
        </w:tc>
        <w:tc>
          <w:tcPr>
            <w:tcW w:w="800" w:type="dxa"/>
            <w:shd w:val="clear" w:color="auto" w:fill="1F3864"/>
            <w:noWrap/>
          </w:tcPr>
          <w:p w14:paraId="67D7D848" w14:textId="77777777" w:rsidR="00A37447" w:rsidRDefault="00A37447">
            <w:pPr>
              <w:keepNext/>
              <w:jc w:val="right"/>
            </w:pPr>
            <w:r>
              <w:rPr>
                <w:b/>
                <w:color w:val="FFFFFF"/>
                <w:sz w:val="17"/>
              </w:rPr>
              <w:t>2025</w:t>
            </w:r>
          </w:p>
        </w:tc>
        <w:tc>
          <w:tcPr>
            <w:tcW w:w="1016" w:type="dxa"/>
            <w:shd w:val="clear" w:color="auto" w:fill="1F3864"/>
          </w:tcPr>
          <w:p w14:paraId="5E912C7A" w14:textId="77777777" w:rsidR="00A37447" w:rsidRDefault="00A37447">
            <w:pPr>
              <w:keepNext/>
              <w:jc w:val="right"/>
            </w:pPr>
            <w:r>
              <w:rPr>
                <w:b/>
                <w:color w:val="FFFFFF"/>
                <w:sz w:val="17"/>
              </w:rPr>
              <w:t>Var. % 2025 vs 2024</w:t>
            </w:r>
          </w:p>
        </w:tc>
        <w:tc>
          <w:tcPr>
            <w:tcW w:w="908" w:type="dxa"/>
            <w:shd w:val="clear" w:color="auto" w:fill="1F3864"/>
          </w:tcPr>
          <w:p w14:paraId="02643ADC" w14:textId="77777777" w:rsidR="00A37447" w:rsidRDefault="00A37447">
            <w:pPr>
              <w:keepNext/>
              <w:jc w:val="right"/>
            </w:pPr>
            <w:r>
              <w:rPr>
                <w:b/>
                <w:color w:val="FFFFFF"/>
                <w:sz w:val="17"/>
              </w:rPr>
              <w:t>TACC 2021-2025</w:t>
            </w:r>
          </w:p>
        </w:tc>
      </w:tr>
      <w:tr w:rsidR="00855697" w14:paraId="414B1D66" w14:textId="77777777">
        <w:trPr>
          <w:cantSplit/>
        </w:trPr>
        <w:tc>
          <w:tcPr>
            <w:tcW w:w="2582" w:type="dxa"/>
          </w:tcPr>
          <w:p w14:paraId="69A3EC30" w14:textId="77777777" w:rsidR="00A37447" w:rsidRDefault="00A37447">
            <w:pPr>
              <w:keepNext/>
              <w:spacing w:after="20"/>
            </w:pPr>
            <w:r>
              <w:rPr>
                <w:sz w:val="17"/>
              </w:rPr>
              <w:t>Generación eléctrica</w:t>
            </w:r>
          </w:p>
        </w:tc>
        <w:tc>
          <w:tcPr>
            <w:tcW w:w="800" w:type="dxa"/>
            <w:noWrap/>
          </w:tcPr>
          <w:p w14:paraId="50A8EF10" w14:textId="77777777" w:rsidR="00A37447" w:rsidRDefault="00A37447">
            <w:pPr>
              <w:keepNext/>
              <w:spacing w:after="20"/>
              <w:jc w:val="right"/>
            </w:pPr>
            <w:r>
              <w:rPr>
                <w:sz w:val="16"/>
              </w:rPr>
              <w:t>426</w:t>
            </w:r>
          </w:p>
        </w:tc>
        <w:tc>
          <w:tcPr>
            <w:tcW w:w="800" w:type="dxa"/>
            <w:noWrap/>
          </w:tcPr>
          <w:p w14:paraId="7BE81BCA" w14:textId="77777777" w:rsidR="00A37447" w:rsidRDefault="00A37447">
            <w:pPr>
              <w:keepNext/>
              <w:spacing w:after="20"/>
              <w:jc w:val="right"/>
            </w:pPr>
            <w:r>
              <w:rPr>
                <w:sz w:val="16"/>
              </w:rPr>
              <w:t>495</w:t>
            </w:r>
          </w:p>
        </w:tc>
        <w:tc>
          <w:tcPr>
            <w:tcW w:w="800" w:type="dxa"/>
            <w:noWrap/>
          </w:tcPr>
          <w:p w14:paraId="127F1291" w14:textId="77777777" w:rsidR="00A37447" w:rsidRDefault="00A37447">
            <w:pPr>
              <w:keepNext/>
              <w:spacing w:after="20"/>
              <w:jc w:val="right"/>
            </w:pPr>
            <w:r>
              <w:rPr>
                <w:sz w:val="16"/>
              </w:rPr>
              <w:t>537</w:t>
            </w:r>
          </w:p>
        </w:tc>
        <w:tc>
          <w:tcPr>
            <w:tcW w:w="800" w:type="dxa"/>
            <w:noWrap/>
          </w:tcPr>
          <w:p w14:paraId="2FF7F3A8" w14:textId="77777777" w:rsidR="00A37447" w:rsidRDefault="00A37447">
            <w:pPr>
              <w:keepNext/>
              <w:spacing w:after="20"/>
              <w:jc w:val="right"/>
            </w:pPr>
            <w:r>
              <w:rPr>
                <w:sz w:val="16"/>
              </w:rPr>
              <w:t>466</w:t>
            </w:r>
          </w:p>
        </w:tc>
        <w:tc>
          <w:tcPr>
            <w:tcW w:w="800" w:type="dxa"/>
            <w:noWrap/>
          </w:tcPr>
          <w:p w14:paraId="564B4999" w14:textId="77777777" w:rsidR="00A37447" w:rsidRDefault="00A37447">
            <w:pPr>
              <w:keepNext/>
              <w:spacing w:after="20"/>
              <w:jc w:val="right"/>
            </w:pPr>
            <w:r>
              <w:rPr>
                <w:sz w:val="16"/>
              </w:rPr>
              <w:t>431</w:t>
            </w:r>
          </w:p>
        </w:tc>
        <w:tc>
          <w:tcPr>
            <w:tcW w:w="1016" w:type="dxa"/>
            <w:noWrap/>
          </w:tcPr>
          <w:p w14:paraId="21535D0F" w14:textId="77777777" w:rsidR="00A37447" w:rsidRDefault="00A37447">
            <w:pPr>
              <w:keepNext/>
              <w:spacing w:after="20"/>
              <w:jc w:val="right"/>
            </w:pPr>
            <w:r>
              <w:rPr>
                <w:sz w:val="16"/>
              </w:rPr>
              <w:t>-7,5 %</w:t>
            </w:r>
          </w:p>
        </w:tc>
        <w:tc>
          <w:tcPr>
            <w:tcW w:w="908" w:type="dxa"/>
            <w:noWrap/>
          </w:tcPr>
          <w:p w14:paraId="1625C033" w14:textId="77777777" w:rsidR="00A37447" w:rsidRDefault="00A37447">
            <w:pPr>
              <w:keepNext/>
              <w:spacing w:after="20"/>
              <w:jc w:val="right"/>
            </w:pPr>
            <w:r>
              <w:rPr>
                <w:sz w:val="16"/>
              </w:rPr>
              <w:t>0,3 %</w:t>
            </w:r>
          </w:p>
        </w:tc>
      </w:tr>
      <w:tr w:rsidR="00855697" w14:paraId="41212A74" w14:textId="77777777">
        <w:trPr>
          <w:cantSplit/>
        </w:trPr>
        <w:tc>
          <w:tcPr>
            <w:tcW w:w="2582" w:type="dxa"/>
            <w:noWrap/>
          </w:tcPr>
          <w:p w14:paraId="79B3A6B8" w14:textId="77777777" w:rsidR="00A37447" w:rsidRDefault="00A37447">
            <w:pPr>
              <w:keepNext/>
              <w:spacing w:after="20"/>
            </w:pPr>
            <w:r>
              <w:rPr>
                <w:sz w:val="17"/>
              </w:rPr>
              <w:t>Exportaciones</w:t>
            </w:r>
          </w:p>
        </w:tc>
        <w:tc>
          <w:tcPr>
            <w:tcW w:w="800" w:type="dxa"/>
            <w:noWrap/>
          </w:tcPr>
          <w:p w14:paraId="7C0FEAC9" w14:textId="77777777" w:rsidR="00A37447" w:rsidRDefault="00A37447">
            <w:pPr>
              <w:keepNext/>
              <w:spacing w:after="20"/>
              <w:jc w:val="right"/>
            </w:pPr>
            <w:r>
              <w:rPr>
                <w:sz w:val="16"/>
              </w:rPr>
              <w:t>341</w:t>
            </w:r>
          </w:p>
        </w:tc>
        <w:tc>
          <w:tcPr>
            <w:tcW w:w="800" w:type="dxa"/>
            <w:noWrap/>
          </w:tcPr>
          <w:p w14:paraId="09AF0A4C" w14:textId="77777777" w:rsidR="00A37447" w:rsidRDefault="00A37447">
            <w:pPr>
              <w:keepNext/>
              <w:spacing w:after="20"/>
              <w:jc w:val="right"/>
            </w:pPr>
            <w:r>
              <w:rPr>
                <w:sz w:val="16"/>
              </w:rPr>
              <w:t>460</w:t>
            </w:r>
          </w:p>
        </w:tc>
        <w:tc>
          <w:tcPr>
            <w:tcW w:w="800" w:type="dxa"/>
            <w:noWrap/>
          </w:tcPr>
          <w:p w14:paraId="1B2AC108" w14:textId="77777777" w:rsidR="00A37447" w:rsidRDefault="00A37447">
            <w:pPr>
              <w:keepNext/>
              <w:spacing w:after="20"/>
              <w:jc w:val="right"/>
            </w:pPr>
            <w:r>
              <w:rPr>
                <w:sz w:val="16"/>
              </w:rPr>
              <w:t>485</w:t>
            </w:r>
          </w:p>
        </w:tc>
        <w:tc>
          <w:tcPr>
            <w:tcW w:w="800" w:type="dxa"/>
            <w:noWrap/>
          </w:tcPr>
          <w:p w14:paraId="523C04F4" w14:textId="77777777" w:rsidR="00A37447" w:rsidRDefault="00A37447">
            <w:pPr>
              <w:keepNext/>
              <w:spacing w:after="20"/>
              <w:jc w:val="right"/>
            </w:pPr>
            <w:r>
              <w:rPr>
                <w:sz w:val="16"/>
              </w:rPr>
              <w:t>529</w:t>
            </w:r>
          </w:p>
        </w:tc>
        <w:tc>
          <w:tcPr>
            <w:tcW w:w="800" w:type="dxa"/>
            <w:noWrap/>
          </w:tcPr>
          <w:p w14:paraId="6396F58E" w14:textId="77777777" w:rsidR="00A37447" w:rsidRDefault="00A37447">
            <w:pPr>
              <w:keepNext/>
              <w:spacing w:after="20"/>
              <w:jc w:val="right"/>
            </w:pPr>
            <w:r>
              <w:rPr>
                <w:sz w:val="16"/>
              </w:rPr>
              <w:t>488</w:t>
            </w:r>
          </w:p>
        </w:tc>
        <w:tc>
          <w:tcPr>
            <w:tcW w:w="1016" w:type="dxa"/>
            <w:noWrap/>
          </w:tcPr>
          <w:p w14:paraId="31573E86" w14:textId="77777777" w:rsidR="00A37447" w:rsidRDefault="00A37447">
            <w:pPr>
              <w:keepNext/>
              <w:spacing w:after="20"/>
              <w:jc w:val="right"/>
            </w:pPr>
            <w:r>
              <w:rPr>
                <w:sz w:val="16"/>
              </w:rPr>
              <w:t>-7,7 %</w:t>
            </w:r>
          </w:p>
        </w:tc>
        <w:tc>
          <w:tcPr>
            <w:tcW w:w="908" w:type="dxa"/>
            <w:noWrap/>
          </w:tcPr>
          <w:p w14:paraId="7B0670C5" w14:textId="77777777" w:rsidR="00A37447" w:rsidRDefault="00A37447">
            <w:pPr>
              <w:keepNext/>
              <w:spacing w:after="20"/>
              <w:jc w:val="right"/>
            </w:pPr>
            <w:r>
              <w:rPr>
                <w:sz w:val="16"/>
              </w:rPr>
              <w:t>9,4 %</w:t>
            </w:r>
          </w:p>
        </w:tc>
      </w:tr>
      <w:tr w:rsidR="00855697" w14:paraId="0CD3F215" w14:textId="77777777">
        <w:trPr>
          <w:cantSplit/>
        </w:trPr>
        <w:tc>
          <w:tcPr>
            <w:tcW w:w="2582" w:type="dxa"/>
            <w:noWrap/>
          </w:tcPr>
          <w:p w14:paraId="30668BC5" w14:textId="77777777" w:rsidR="00A37447" w:rsidRDefault="00A37447">
            <w:pPr>
              <w:keepNext/>
              <w:spacing w:after="20"/>
            </w:pPr>
            <w:r>
              <w:rPr>
                <w:sz w:val="17"/>
              </w:rPr>
              <w:t>Industrial</w:t>
            </w:r>
          </w:p>
        </w:tc>
        <w:tc>
          <w:tcPr>
            <w:tcW w:w="800" w:type="dxa"/>
            <w:noWrap/>
          </w:tcPr>
          <w:p w14:paraId="690CC00F" w14:textId="77777777" w:rsidR="00A37447" w:rsidRDefault="00A37447">
            <w:pPr>
              <w:keepNext/>
              <w:spacing w:after="20"/>
              <w:jc w:val="right"/>
            </w:pPr>
            <w:r>
              <w:rPr>
                <w:sz w:val="16"/>
              </w:rPr>
              <w:t>254</w:t>
            </w:r>
          </w:p>
        </w:tc>
        <w:tc>
          <w:tcPr>
            <w:tcW w:w="800" w:type="dxa"/>
            <w:noWrap/>
          </w:tcPr>
          <w:p w14:paraId="2930E1D5" w14:textId="77777777" w:rsidR="00A37447" w:rsidRDefault="00A37447">
            <w:pPr>
              <w:keepNext/>
              <w:spacing w:after="20"/>
              <w:jc w:val="right"/>
            </w:pPr>
            <w:r>
              <w:rPr>
                <w:sz w:val="16"/>
              </w:rPr>
              <w:t>266</w:t>
            </w:r>
          </w:p>
        </w:tc>
        <w:tc>
          <w:tcPr>
            <w:tcW w:w="800" w:type="dxa"/>
            <w:noWrap/>
          </w:tcPr>
          <w:p w14:paraId="53546ED0" w14:textId="77777777" w:rsidR="00A37447" w:rsidRDefault="00A37447">
            <w:pPr>
              <w:keepNext/>
              <w:spacing w:after="20"/>
              <w:jc w:val="right"/>
            </w:pPr>
            <w:r>
              <w:rPr>
                <w:sz w:val="16"/>
              </w:rPr>
              <w:t>259</w:t>
            </w:r>
          </w:p>
        </w:tc>
        <w:tc>
          <w:tcPr>
            <w:tcW w:w="800" w:type="dxa"/>
            <w:noWrap/>
          </w:tcPr>
          <w:p w14:paraId="692BF182" w14:textId="77777777" w:rsidR="00A37447" w:rsidRDefault="00A37447">
            <w:pPr>
              <w:keepNext/>
              <w:spacing w:after="20"/>
              <w:jc w:val="right"/>
            </w:pPr>
            <w:r>
              <w:rPr>
                <w:sz w:val="16"/>
              </w:rPr>
              <w:t>269</w:t>
            </w:r>
          </w:p>
        </w:tc>
        <w:tc>
          <w:tcPr>
            <w:tcW w:w="800" w:type="dxa"/>
            <w:noWrap/>
          </w:tcPr>
          <w:p w14:paraId="55DD0129" w14:textId="77777777" w:rsidR="00A37447" w:rsidRDefault="00A37447">
            <w:pPr>
              <w:keepNext/>
              <w:spacing w:after="20"/>
              <w:jc w:val="right"/>
            </w:pPr>
            <w:r>
              <w:rPr>
                <w:sz w:val="16"/>
              </w:rPr>
              <w:t>274</w:t>
            </w:r>
          </w:p>
        </w:tc>
        <w:tc>
          <w:tcPr>
            <w:tcW w:w="1016" w:type="dxa"/>
            <w:noWrap/>
          </w:tcPr>
          <w:p w14:paraId="1A82622E" w14:textId="77777777" w:rsidR="00A37447" w:rsidRDefault="00A37447">
            <w:pPr>
              <w:keepNext/>
              <w:spacing w:after="20"/>
              <w:jc w:val="right"/>
            </w:pPr>
            <w:r>
              <w:rPr>
                <w:sz w:val="16"/>
              </w:rPr>
              <w:t>1,9 %</w:t>
            </w:r>
          </w:p>
        </w:tc>
        <w:tc>
          <w:tcPr>
            <w:tcW w:w="908" w:type="dxa"/>
            <w:noWrap/>
          </w:tcPr>
          <w:p w14:paraId="16FD41D9" w14:textId="77777777" w:rsidR="00A37447" w:rsidRDefault="00A37447">
            <w:pPr>
              <w:keepNext/>
              <w:spacing w:after="20"/>
              <w:jc w:val="right"/>
            </w:pPr>
            <w:r>
              <w:rPr>
                <w:sz w:val="16"/>
              </w:rPr>
              <w:t>1,9 %</w:t>
            </w:r>
          </w:p>
        </w:tc>
      </w:tr>
      <w:tr w:rsidR="00855697" w14:paraId="336E04FA" w14:textId="77777777">
        <w:trPr>
          <w:cantSplit/>
        </w:trPr>
        <w:tc>
          <w:tcPr>
            <w:tcW w:w="2582" w:type="dxa"/>
            <w:noWrap/>
          </w:tcPr>
          <w:p w14:paraId="39FAD7B6" w14:textId="77777777" w:rsidR="00A37447" w:rsidRDefault="00A37447">
            <w:pPr>
              <w:keepNext/>
              <w:spacing w:after="20"/>
            </w:pPr>
            <w:r>
              <w:rPr>
                <w:sz w:val="17"/>
              </w:rPr>
              <w:t>GNV</w:t>
            </w:r>
          </w:p>
        </w:tc>
        <w:tc>
          <w:tcPr>
            <w:tcW w:w="800" w:type="dxa"/>
            <w:noWrap/>
          </w:tcPr>
          <w:p w14:paraId="673230EA" w14:textId="77777777" w:rsidR="00A37447" w:rsidRDefault="00A37447">
            <w:pPr>
              <w:keepNext/>
              <w:spacing w:after="20"/>
              <w:jc w:val="right"/>
            </w:pPr>
            <w:r>
              <w:rPr>
                <w:sz w:val="16"/>
              </w:rPr>
              <w:t>53</w:t>
            </w:r>
          </w:p>
        </w:tc>
        <w:tc>
          <w:tcPr>
            <w:tcW w:w="800" w:type="dxa"/>
            <w:noWrap/>
          </w:tcPr>
          <w:p w14:paraId="0B8B6C02" w14:textId="77777777" w:rsidR="00A37447" w:rsidRDefault="00A37447">
            <w:pPr>
              <w:keepNext/>
              <w:spacing w:after="20"/>
              <w:jc w:val="right"/>
            </w:pPr>
            <w:r>
              <w:rPr>
                <w:sz w:val="16"/>
              </w:rPr>
              <w:t>66</w:t>
            </w:r>
          </w:p>
        </w:tc>
        <w:tc>
          <w:tcPr>
            <w:tcW w:w="800" w:type="dxa"/>
            <w:noWrap/>
          </w:tcPr>
          <w:p w14:paraId="7EBB4AE2" w14:textId="77777777" w:rsidR="00A37447" w:rsidRDefault="00A37447">
            <w:pPr>
              <w:keepNext/>
              <w:spacing w:after="20"/>
              <w:jc w:val="right"/>
            </w:pPr>
            <w:r>
              <w:rPr>
                <w:sz w:val="16"/>
              </w:rPr>
              <w:t>74</w:t>
            </w:r>
          </w:p>
        </w:tc>
        <w:tc>
          <w:tcPr>
            <w:tcW w:w="800" w:type="dxa"/>
            <w:noWrap/>
          </w:tcPr>
          <w:p w14:paraId="7234CF36" w14:textId="77777777" w:rsidR="00A37447" w:rsidRDefault="00A37447">
            <w:pPr>
              <w:keepNext/>
              <w:spacing w:after="20"/>
              <w:jc w:val="right"/>
            </w:pPr>
            <w:r>
              <w:rPr>
                <w:sz w:val="16"/>
              </w:rPr>
              <w:t>80</w:t>
            </w:r>
          </w:p>
        </w:tc>
        <w:tc>
          <w:tcPr>
            <w:tcW w:w="800" w:type="dxa"/>
            <w:noWrap/>
          </w:tcPr>
          <w:p w14:paraId="6EFE486B" w14:textId="77777777" w:rsidR="00A37447" w:rsidRDefault="00A37447">
            <w:pPr>
              <w:keepNext/>
              <w:spacing w:after="20"/>
              <w:jc w:val="right"/>
            </w:pPr>
            <w:r>
              <w:rPr>
                <w:sz w:val="16"/>
              </w:rPr>
              <w:t>84</w:t>
            </w:r>
          </w:p>
        </w:tc>
        <w:tc>
          <w:tcPr>
            <w:tcW w:w="1016" w:type="dxa"/>
            <w:noWrap/>
          </w:tcPr>
          <w:p w14:paraId="2C2D302D" w14:textId="77777777" w:rsidR="00A37447" w:rsidRDefault="00A37447">
            <w:pPr>
              <w:keepNext/>
              <w:spacing w:after="20"/>
              <w:jc w:val="right"/>
            </w:pPr>
            <w:r>
              <w:rPr>
                <w:sz w:val="16"/>
              </w:rPr>
              <w:t>5,0 %</w:t>
            </w:r>
          </w:p>
        </w:tc>
        <w:tc>
          <w:tcPr>
            <w:tcW w:w="908" w:type="dxa"/>
            <w:noWrap/>
          </w:tcPr>
          <w:p w14:paraId="5C9DF933" w14:textId="77777777" w:rsidR="00A37447" w:rsidRDefault="00A37447">
            <w:pPr>
              <w:keepNext/>
              <w:spacing w:after="20"/>
              <w:jc w:val="right"/>
            </w:pPr>
            <w:r>
              <w:rPr>
                <w:sz w:val="16"/>
              </w:rPr>
              <w:t>11,9 %</w:t>
            </w:r>
          </w:p>
        </w:tc>
      </w:tr>
      <w:tr w:rsidR="00855697" w14:paraId="679CAD4B" w14:textId="77777777">
        <w:trPr>
          <w:cantSplit/>
        </w:trPr>
        <w:tc>
          <w:tcPr>
            <w:tcW w:w="2582" w:type="dxa"/>
          </w:tcPr>
          <w:p w14:paraId="1EC1B06E" w14:textId="77777777" w:rsidR="00A37447" w:rsidRDefault="00A37447">
            <w:pPr>
              <w:keepNext/>
              <w:spacing w:after="20"/>
            </w:pPr>
            <w:r>
              <w:rPr>
                <w:sz w:val="17"/>
              </w:rPr>
              <w:t>Residencial y comercial</w:t>
            </w:r>
          </w:p>
        </w:tc>
        <w:tc>
          <w:tcPr>
            <w:tcW w:w="800" w:type="dxa"/>
            <w:noWrap/>
          </w:tcPr>
          <w:p w14:paraId="079A3BFD" w14:textId="77777777" w:rsidR="00A37447" w:rsidRDefault="00A37447">
            <w:pPr>
              <w:keepNext/>
              <w:spacing w:after="20"/>
              <w:jc w:val="right"/>
            </w:pPr>
            <w:r>
              <w:rPr>
                <w:sz w:val="16"/>
              </w:rPr>
              <w:t>25</w:t>
            </w:r>
          </w:p>
        </w:tc>
        <w:tc>
          <w:tcPr>
            <w:tcW w:w="800" w:type="dxa"/>
            <w:noWrap/>
          </w:tcPr>
          <w:p w14:paraId="42FC0C16" w14:textId="77777777" w:rsidR="00A37447" w:rsidRDefault="00A37447">
            <w:pPr>
              <w:keepNext/>
              <w:spacing w:after="20"/>
              <w:jc w:val="right"/>
            </w:pPr>
            <w:r>
              <w:rPr>
                <w:sz w:val="16"/>
              </w:rPr>
              <w:t>29</w:t>
            </w:r>
          </w:p>
        </w:tc>
        <w:tc>
          <w:tcPr>
            <w:tcW w:w="800" w:type="dxa"/>
            <w:noWrap/>
          </w:tcPr>
          <w:p w14:paraId="5A688427" w14:textId="77777777" w:rsidR="00A37447" w:rsidRDefault="00A37447">
            <w:pPr>
              <w:keepNext/>
              <w:spacing w:after="20"/>
              <w:jc w:val="right"/>
            </w:pPr>
            <w:r>
              <w:rPr>
                <w:sz w:val="16"/>
              </w:rPr>
              <w:t>33</w:t>
            </w:r>
          </w:p>
        </w:tc>
        <w:tc>
          <w:tcPr>
            <w:tcW w:w="800" w:type="dxa"/>
            <w:noWrap/>
          </w:tcPr>
          <w:p w14:paraId="76A2B60A" w14:textId="77777777" w:rsidR="00A37447" w:rsidRDefault="00A37447">
            <w:pPr>
              <w:keepNext/>
              <w:spacing w:after="20"/>
              <w:jc w:val="right"/>
            </w:pPr>
            <w:r>
              <w:rPr>
                <w:sz w:val="16"/>
              </w:rPr>
              <w:t>38</w:t>
            </w:r>
          </w:p>
        </w:tc>
        <w:tc>
          <w:tcPr>
            <w:tcW w:w="800" w:type="dxa"/>
            <w:noWrap/>
          </w:tcPr>
          <w:p w14:paraId="5B2E90B9" w14:textId="77777777" w:rsidR="00A37447" w:rsidRDefault="00A37447">
            <w:pPr>
              <w:keepNext/>
              <w:spacing w:after="20"/>
              <w:jc w:val="right"/>
            </w:pPr>
            <w:r>
              <w:rPr>
                <w:sz w:val="16"/>
              </w:rPr>
              <w:t>42</w:t>
            </w:r>
          </w:p>
        </w:tc>
        <w:tc>
          <w:tcPr>
            <w:tcW w:w="1016" w:type="dxa"/>
            <w:noWrap/>
          </w:tcPr>
          <w:p w14:paraId="2472E30C" w14:textId="77777777" w:rsidR="00A37447" w:rsidRDefault="00A37447">
            <w:pPr>
              <w:keepNext/>
              <w:spacing w:after="20"/>
              <w:jc w:val="right"/>
            </w:pPr>
            <w:r>
              <w:rPr>
                <w:sz w:val="16"/>
              </w:rPr>
              <w:t>11,2 %</w:t>
            </w:r>
          </w:p>
        </w:tc>
        <w:tc>
          <w:tcPr>
            <w:tcW w:w="908" w:type="dxa"/>
            <w:noWrap/>
          </w:tcPr>
          <w:p w14:paraId="667D1507" w14:textId="77777777" w:rsidR="00A37447" w:rsidRDefault="00A37447">
            <w:pPr>
              <w:keepNext/>
              <w:spacing w:after="20"/>
              <w:jc w:val="right"/>
            </w:pPr>
            <w:r>
              <w:rPr>
                <w:sz w:val="16"/>
              </w:rPr>
              <w:t>13,7 %</w:t>
            </w:r>
          </w:p>
        </w:tc>
      </w:tr>
      <w:tr w:rsidR="00855697" w14:paraId="2FB851E9" w14:textId="77777777">
        <w:trPr>
          <w:cantSplit/>
        </w:trPr>
        <w:tc>
          <w:tcPr>
            <w:tcW w:w="2582" w:type="dxa"/>
            <w:noWrap/>
          </w:tcPr>
          <w:p w14:paraId="00B10AD7" w14:textId="77777777" w:rsidR="00A37447" w:rsidRDefault="00A37447">
            <w:pPr>
              <w:keepNext/>
              <w:spacing w:after="20"/>
            </w:pPr>
            <w:r>
              <w:rPr>
                <w:b/>
                <w:sz w:val="17"/>
              </w:rPr>
              <w:t>Total</w:t>
            </w:r>
          </w:p>
        </w:tc>
        <w:tc>
          <w:tcPr>
            <w:tcW w:w="800" w:type="dxa"/>
            <w:noWrap/>
          </w:tcPr>
          <w:p w14:paraId="22F97F7F" w14:textId="77777777" w:rsidR="00A37447" w:rsidRDefault="00A37447">
            <w:pPr>
              <w:keepNext/>
              <w:spacing w:after="20"/>
              <w:jc w:val="right"/>
            </w:pPr>
            <w:r>
              <w:rPr>
                <w:sz w:val="16"/>
              </w:rPr>
              <w:t>1.100</w:t>
            </w:r>
          </w:p>
        </w:tc>
        <w:tc>
          <w:tcPr>
            <w:tcW w:w="800" w:type="dxa"/>
            <w:noWrap/>
          </w:tcPr>
          <w:p w14:paraId="589CF71D" w14:textId="77777777" w:rsidR="00A37447" w:rsidRDefault="00A37447">
            <w:pPr>
              <w:keepNext/>
              <w:spacing w:after="20"/>
              <w:jc w:val="right"/>
            </w:pPr>
            <w:r>
              <w:rPr>
                <w:sz w:val="16"/>
              </w:rPr>
              <w:t>1.316</w:t>
            </w:r>
          </w:p>
        </w:tc>
        <w:tc>
          <w:tcPr>
            <w:tcW w:w="800" w:type="dxa"/>
            <w:noWrap/>
          </w:tcPr>
          <w:p w14:paraId="18C0FFEC" w14:textId="77777777" w:rsidR="00A37447" w:rsidRDefault="00A37447">
            <w:pPr>
              <w:keepNext/>
              <w:spacing w:after="20"/>
              <w:jc w:val="right"/>
            </w:pPr>
            <w:r>
              <w:rPr>
                <w:sz w:val="16"/>
              </w:rPr>
              <w:t>1.389</w:t>
            </w:r>
          </w:p>
        </w:tc>
        <w:tc>
          <w:tcPr>
            <w:tcW w:w="800" w:type="dxa"/>
            <w:noWrap/>
          </w:tcPr>
          <w:p w14:paraId="3F26BD94" w14:textId="77777777" w:rsidR="00A37447" w:rsidRDefault="00A37447">
            <w:pPr>
              <w:keepNext/>
              <w:spacing w:after="20"/>
              <w:jc w:val="right"/>
            </w:pPr>
            <w:r>
              <w:rPr>
                <w:sz w:val="16"/>
              </w:rPr>
              <w:t>1.381</w:t>
            </w:r>
          </w:p>
        </w:tc>
        <w:tc>
          <w:tcPr>
            <w:tcW w:w="800" w:type="dxa"/>
            <w:noWrap/>
          </w:tcPr>
          <w:p w14:paraId="4C439D1F" w14:textId="77777777" w:rsidR="00A37447" w:rsidRDefault="00A37447">
            <w:pPr>
              <w:keepNext/>
              <w:spacing w:after="20"/>
              <w:jc w:val="right"/>
            </w:pPr>
            <w:r>
              <w:rPr>
                <w:sz w:val="16"/>
              </w:rPr>
              <w:t>1.319</w:t>
            </w:r>
          </w:p>
        </w:tc>
        <w:tc>
          <w:tcPr>
            <w:tcW w:w="1016" w:type="dxa"/>
            <w:noWrap/>
          </w:tcPr>
          <w:p w14:paraId="58EF9D9B" w14:textId="77777777" w:rsidR="00A37447" w:rsidRDefault="00A37447">
            <w:pPr>
              <w:keepNext/>
              <w:spacing w:after="20"/>
              <w:jc w:val="right"/>
            </w:pPr>
            <w:r>
              <w:rPr>
                <w:sz w:val="16"/>
              </w:rPr>
              <w:t>-4,5 %</w:t>
            </w:r>
          </w:p>
        </w:tc>
        <w:tc>
          <w:tcPr>
            <w:tcW w:w="908" w:type="dxa"/>
            <w:noWrap/>
          </w:tcPr>
          <w:p w14:paraId="7B7E19FF" w14:textId="77777777" w:rsidR="00A37447" w:rsidRDefault="00A37447">
            <w:pPr>
              <w:keepNext/>
              <w:spacing w:after="20"/>
              <w:jc w:val="right"/>
            </w:pPr>
            <w:r>
              <w:rPr>
                <w:sz w:val="16"/>
              </w:rPr>
              <w:t>4,7 %</w:t>
            </w:r>
          </w:p>
        </w:tc>
      </w:tr>
    </w:tbl>
    <w:p w14:paraId="628469A7" w14:textId="3A73A4DC" w:rsidR="00786EA0" w:rsidRPr="00857D06" w:rsidRDefault="00A37447" w:rsidP="00104CD6">
      <w:pPr>
        <w:keepLines/>
        <w:spacing w:before="40"/>
        <w:jc w:val="right"/>
        <w:rPr>
          <w:lang w:val="es-PE"/>
        </w:rPr>
      </w:pPr>
      <w:r w:rsidRPr="0036111A">
        <w:rPr>
          <w:b/>
          <w:color w:val="404040"/>
          <w:sz w:val="15"/>
          <w:lang w:val="es-PE"/>
        </w:rPr>
        <w:t>FUENTE: COES, Minem, Osinergmin, Perupetro, empresas del sector</w:t>
      </w:r>
    </w:p>
    <w:p w14:paraId="61610F39" w14:textId="33035FF0" w:rsidR="00A37447" w:rsidRPr="0036111A" w:rsidRDefault="00A37447">
      <w:pPr>
        <w:keepLines/>
        <w:rPr>
          <w:lang w:val="es-PE"/>
        </w:rPr>
      </w:pPr>
      <w:r w:rsidRPr="0036111A">
        <w:rPr>
          <w:lang w:val="es-PE"/>
        </w:rPr>
        <w:t xml:space="preserve">La generación eléctrica </w:t>
      </w:r>
      <w:r>
        <w:rPr>
          <w:lang w:val="es-PE"/>
        </w:rPr>
        <w:t>–</w:t>
      </w:r>
      <w:r w:rsidRPr="0036111A">
        <w:rPr>
          <w:lang w:val="es-PE"/>
        </w:rPr>
        <w:t xml:space="preserve">el </w:t>
      </w:r>
      <w:r w:rsidR="006851A8">
        <w:rPr>
          <w:lang w:val="es-PE"/>
        </w:rPr>
        <w:t xml:space="preserve">segundo </w:t>
      </w:r>
      <w:r w:rsidRPr="0036111A">
        <w:rPr>
          <w:lang w:val="es-PE"/>
        </w:rPr>
        <w:t>segmento de mayor peso, con el 33 % del total</w:t>
      </w:r>
      <w:r>
        <w:rPr>
          <w:lang w:val="es-PE"/>
        </w:rPr>
        <w:t>–</w:t>
      </w:r>
      <w:r w:rsidRPr="0036111A">
        <w:rPr>
          <w:lang w:val="es-PE"/>
        </w:rPr>
        <w:t xml:space="preserve"> registró su segundo año consecutivo de caída (-8 %), hasta los 431 MMpcd, desplazada por el crecimiento de la oferta renovable y por precipitaciones en niveles adecuados que favorecieron la generación hidroeléctrica. </w:t>
      </w:r>
      <w:r w:rsidR="00907E2F">
        <w:rPr>
          <w:lang w:val="es-PE"/>
        </w:rPr>
        <w:t>Por su parte, e</w:t>
      </w:r>
      <w:r w:rsidRPr="0036111A">
        <w:rPr>
          <w:lang w:val="es-PE"/>
        </w:rPr>
        <w:t xml:space="preserve">l segmento industrial </w:t>
      </w:r>
      <w:r>
        <w:rPr>
          <w:lang w:val="es-PE"/>
        </w:rPr>
        <w:t>–</w:t>
      </w:r>
      <w:r w:rsidRPr="0036111A">
        <w:rPr>
          <w:lang w:val="es-PE"/>
        </w:rPr>
        <w:t>que incluye el consumo independiente de grandes empresas</w:t>
      </w:r>
      <w:r>
        <w:rPr>
          <w:lang w:val="es-PE"/>
        </w:rPr>
        <w:t>–</w:t>
      </w:r>
      <w:r w:rsidRPr="0036111A">
        <w:rPr>
          <w:lang w:val="es-PE"/>
        </w:rPr>
        <w:t xml:space="preserve"> creció 2 %, hasta 274 MMpcd. El segmento residencial y comercial continuó siendo el de mayor dinamismo relativo, con un crecimiento de 11 % (42 MMpcd) y una tasa promedio anual de 14 % desde 2021, en línea con la expansión de conexiones. El GNV registró un incremento de 5 % (84 MMpcd), consolidando su tendencia de máximos históricos.</w:t>
      </w:r>
    </w:p>
    <w:p w14:paraId="220C6A58" w14:textId="77777777" w:rsidR="00C75A27" w:rsidRDefault="00D4093E">
      <w:pPr>
        <w:spacing w:before="160"/>
        <w:jc w:val="center"/>
      </w:pPr>
      <w:r>
        <w:rPr>
          <w:noProof/>
        </w:rPr>
        <w:drawing>
          <wp:inline distT="0" distB="0" distL="0" distR="0" wp14:anchorId="7301C872" wp14:editId="2673AEEF">
            <wp:extent cx="4320000" cy="2682555"/>
            <wp:effectExtent l="0" t="0" r="0" b="0"/>
            <wp:docPr id="90060" name="Picture 9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48.png"/>
                    <pic:cNvPicPr/>
                  </pic:nvPicPr>
                  <pic:blipFill>
                    <a:blip r:embed="rId51"/>
                    <a:stretch>
                      <a:fillRect/>
                    </a:stretch>
                  </pic:blipFill>
                  <pic:spPr>
                    <a:xfrm>
                      <a:off x="0" y="0"/>
                      <a:ext cx="4320000" cy="2682555"/>
                    </a:xfrm>
                    <a:prstGeom prst="rect">
                      <a:avLst/>
                    </a:prstGeom>
                  </pic:spPr>
                </pic:pic>
              </a:graphicData>
            </a:graphic>
          </wp:inline>
        </w:drawing>
      </w:r>
    </w:p>
    <w:p w14:paraId="515885AA" w14:textId="77777777" w:rsidR="00C75A27" w:rsidRDefault="00D4093E">
      <w:pPr>
        <w:spacing w:before="160"/>
        <w:jc w:val="center"/>
      </w:pPr>
      <w:r>
        <w:rPr>
          <w:noProof/>
        </w:rPr>
        <w:lastRenderedPageBreak/>
        <w:drawing>
          <wp:inline distT="0" distB="0" distL="0" distR="0" wp14:anchorId="3F0AC17E" wp14:editId="1AADE13B">
            <wp:extent cx="4320000" cy="2682555"/>
            <wp:effectExtent l="0" t="0" r="0" b="0"/>
            <wp:docPr id="90061" name="Picture 9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49.png"/>
                    <pic:cNvPicPr/>
                  </pic:nvPicPr>
                  <pic:blipFill>
                    <a:blip r:embed="rId52"/>
                    <a:stretch>
                      <a:fillRect/>
                    </a:stretch>
                  </pic:blipFill>
                  <pic:spPr>
                    <a:xfrm>
                      <a:off x="0" y="0"/>
                      <a:ext cx="4320000" cy="2682555"/>
                    </a:xfrm>
                    <a:prstGeom prst="rect">
                      <a:avLst/>
                    </a:prstGeom>
                  </pic:spPr>
                </pic:pic>
              </a:graphicData>
            </a:graphic>
          </wp:inline>
        </w:drawing>
      </w:r>
    </w:p>
    <w:p w14:paraId="4C0CA07A" w14:textId="77777777" w:rsidR="00A37447" w:rsidRPr="0036111A" w:rsidRDefault="00A37447">
      <w:pPr>
        <w:spacing w:before="160"/>
        <w:jc w:val="center"/>
        <w:rPr>
          <w:lang w:val="es-PE"/>
        </w:rPr>
      </w:pPr>
    </w:p>
    <w:p w14:paraId="6651B2D5" w14:textId="23844F9C" w:rsidR="00A37447" w:rsidRDefault="00A37447">
      <w:pPr>
        <w:spacing w:before="160"/>
        <w:jc w:val="center"/>
        <w:rPr>
          <w:lang w:val="es-ES"/>
        </w:rPr>
      </w:pPr>
      <w:r>
        <w:rPr>
          <w:noProof/>
        </w:rPr>
        <w:drawing>
          <wp:inline distT="0" distB="0" distL="0" distR="0" wp14:anchorId="1BA661D6" wp14:editId="59041A92">
            <wp:extent cx="4320000" cy="3035844"/>
            <wp:effectExtent l="0" t="0" r="0" b="0"/>
            <wp:docPr id="2110891809" name="Imagen 211089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0.png"/>
                    <pic:cNvPicPr/>
                  </pic:nvPicPr>
                  <pic:blipFill>
                    <a:blip r:embed="rId53"/>
                    <a:stretch>
                      <a:fillRect/>
                    </a:stretch>
                  </pic:blipFill>
                  <pic:spPr>
                    <a:xfrm>
                      <a:off x="0" y="0"/>
                      <a:ext cx="4320000" cy="3035844"/>
                    </a:xfrm>
                    <a:prstGeom prst="rect">
                      <a:avLst/>
                    </a:prstGeom>
                  </pic:spPr>
                </pic:pic>
              </a:graphicData>
            </a:graphic>
          </wp:inline>
        </w:drawing>
      </w:r>
    </w:p>
    <w:p w14:paraId="0D195402" w14:textId="77777777" w:rsidR="00A37447" w:rsidRDefault="00A37447">
      <w:pPr>
        <w:rPr>
          <w:lang w:val="es-ES"/>
        </w:rPr>
      </w:pPr>
    </w:p>
    <w:p w14:paraId="1FB88AF3" w14:textId="77777777" w:rsidR="00A37447" w:rsidRPr="0036111A" w:rsidRDefault="00A37447">
      <w:pPr>
        <w:pStyle w:val="Ttulo4"/>
        <w:pageBreakBefore/>
        <w:rPr>
          <w:lang w:val="es-PE"/>
        </w:rPr>
      </w:pPr>
      <w:bookmarkStart w:id="15" w:name="_Toc235083027"/>
      <w:r>
        <w:rPr>
          <w:lang w:val="es-ES"/>
        </w:rPr>
        <w:lastRenderedPageBreak/>
        <w:t>3.2.6.2. Distribución por empresa</w:t>
      </w:r>
      <w:bookmarkEnd w:id="15"/>
    </w:p>
    <w:p w14:paraId="62DBF7DC" w14:textId="77777777" w:rsidR="00A37447" w:rsidRPr="0036111A" w:rsidRDefault="00A37447">
      <w:pPr>
        <w:keepLines/>
        <w:rPr>
          <w:lang w:val="es-PE"/>
        </w:rPr>
      </w:pPr>
      <w:r w:rsidRPr="0036111A">
        <w:rPr>
          <w:lang w:val="es-PE"/>
        </w:rPr>
        <w:t>En el Perú operan cinco empresas en cinco concesiones de distribución que llevan gas natural a familias, comercios e industrias en 10 regiones y una provincia constitucional.</w:t>
      </w:r>
    </w:p>
    <w:p w14:paraId="1834E05D" w14:textId="77777777" w:rsidR="00A37447" w:rsidRPr="0036111A" w:rsidRDefault="00A37447">
      <w:pPr>
        <w:keepNext/>
        <w:keepLines/>
        <w:rPr>
          <w:rFonts w:cs="Arial"/>
          <w:b/>
          <w:bCs/>
          <w:lang w:val="es-PE"/>
        </w:rPr>
      </w:pPr>
      <w:r w:rsidRPr="0036111A">
        <w:rPr>
          <w:rFonts w:cs="Arial"/>
          <w:b/>
          <w:bCs/>
          <w:lang w:val="es-PE"/>
        </w:rPr>
        <w:t>Cifras agregadas de las cinco concesiones de distribución</w:t>
      </w:r>
    </w:p>
    <w:p w14:paraId="3F900EBA" w14:textId="77777777" w:rsidR="00A37447" w:rsidRPr="0036111A" w:rsidRDefault="00A37447">
      <w:pPr>
        <w:keepNext/>
        <w:keepLines/>
        <w:spacing w:before="120" w:after="20"/>
        <w:rPr>
          <w:lang w:val="es-PE"/>
        </w:rPr>
      </w:pPr>
      <w:r w:rsidRPr="0036111A">
        <w:rPr>
          <w:b/>
          <w:color w:val="00838F"/>
          <w:sz w:val="20"/>
          <w:lang w:val="es-PE"/>
        </w:rPr>
        <w:t>CLIENTES DE GAS NATURAL POR SEGMENTO</w:t>
      </w:r>
    </w:p>
    <w:p w14:paraId="1491BF3A" w14:textId="77777777" w:rsidR="00A37447" w:rsidRDefault="00A37447">
      <w:pPr>
        <w:keepNext/>
        <w:keepLines/>
        <w:spacing w:after="60"/>
      </w:pPr>
      <w:r>
        <w:rPr>
          <w:i/>
          <w:sz w:val="17"/>
        </w:rPr>
        <w:t>Número de conexiones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400"/>
        <w:gridCol w:w="1098"/>
        <w:gridCol w:w="1098"/>
        <w:gridCol w:w="1098"/>
        <w:gridCol w:w="1098"/>
        <w:gridCol w:w="1098"/>
        <w:gridCol w:w="808"/>
        <w:gridCol w:w="808"/>
      </w:tblGrid>
      <w:tr w:rsidR="00855697" w14:paraId="6ADE0CA9" w14:textId="77777777">
        <w:trPr>
          <w:cantSplit/>
          <w:tblHeader/>
        </w:trPr>
        <w:tc>
          <w:tcPr>
            <w:tcW w:w="1400" w:type="dxa"/>
            <w:shd w:val="clear" w:color="auto" w:fill="1F3864"/>
          </w:tcPr>
          <w:p w14:paraId="3661DCC0" w14:textId="77777777" w:rsidR="00A37447" w:rsidRDefault="00A37447">
            <w:pPr>
              <w:keepNext/>
            </w:pPr>
            <w:r>
              <w:rPr>
                <w:b/>
                <w:color w:val="FFFFFF"/>
                <w:sz w:val="17"/>
              </w:rPr>
              <w:t>Segmento</w:t>
            </w:r>
          </w:p>
        </w:tc>
        <w:tc>
          <w:tcPr>
            <w:tcW w:w="1097" w:type="dxa"/>
            <w:shd w:val="clear" w:color="auto" w:fill="1F3864"/>
            <w:noWrap/>
          </w:tcPr>
          <w:p w14:paraId="635E92EE" w14:textId="77777777" w:rsidR="00A37447" w:rsidRDefault="00A37447">
            <w:pPr>
              <w:keepNext/>
              <w:jc w:val="right"/>
            </w:pPr>
            <w:r>
              <w:rPr>
                <w:b/>
                <w:color w:val="FFFFFF"/>
                <w:sz w:val="17"/>
              </w:rPr>
              <w:t>2021</w:t>
            </w:r>
          </w:p>
        </w:tc>
        <w:tc>
          <w:tcPr>
            <w:tcW w:w="1097" w:type="dxa"/>
            <w:shd w:val="clear" w:color="auto" w:fill="1F3864"/>
            <w:noWrap/>
          </w:tcPr>
          <w:p w14:paraId="3E37A4DB" w14:textId="77777777" w:rsidR="00A37447" w:rsidRDefault="00A37447">
            <w:pPr>
              <w:keepNext/>
              <w:jc w:val="right"/>
            </w:pPr>
            <w:r>
              <w:rPr>
                <w:b/>
                <w:color w:val="FFFFFF"/>
                <w:sz w:val="17"/>
              </w:rPr>
              <w:t>2022</w:t>
            </w:r>
          </w:p>
        </w:tc>
        <w:tc>
          <w:tcPr>
            <w:tcW w:w="1097" w:type="dxa"/>
            <w:shd w:val="clear" w:color="auto" w:fill="1F3864"/>
            <w:noWrap/>
          </w:tcPr>
          <w:p w14:paraId="77BC2AB7" w14:textId="77777777" w:rsidR="00A37447" w:rsidRDefault="00A37447">
            <w:pPr>
              <w:keepNext/>
              <w:jc w:val="right"/>
            </w:pPr>
            <w:r>
              <w:rPr>
                <w:b/>
                <w:color w:val="FFFFFF"/>
                <w:sz w:val="17"/>
              </w:rPr>
              <w:t>2023</w:t>
            </w:r>
          </w:p>
        </w:tc>
        <w:tc>
          <w:tcPr>
            <w:tcW w:w="1097" w:type="dxa"/>
            <w:shd w:val="clear" w:color="auto" w:fill="1F3864"/>
            <w:noWrap/>
          </w:tcPr>
          <w:p w14:paraId="08BFA16D" w14:textId="77777777" w:rsidR="00A37447" w:rsidRDefault="00A37447">
            <w:pPr>
              <w:keepNext/>
              <w:jc w:val="right"/>
            </w:pPr>
            <w:r>
              <w:rPr>
                <w:b/>
                <w:color w:val="FFFFFF"/>
                <w:sz w:val="17"/>
              </w:rPr>
              <w:t>2024</w:t>
            </w:r>
          </w:p>
        </w:tc>
        <w:tc>
          <w:tcPr>
            <w:tcW w:w="1097" w:type="dxa"/>
            <w:shd w:val="clear" w:color="auto" w:fill="1F3864"/>
            <w:noWrap/>
          </w:tcPr>
          <w:p w14:paraId="3AA0784A" w14:textId="77777777" w:rsidR="00A37447" w:rsidRDefault="00A37447">
            <w:pPr>
              <w:keepNext/>
              <w:jc w:val="right"/>
            </w:pPr>
            <w:r>
              <w:rPr>
                <w:b/>
                <w:color w:val="FFFFFF"/>
                <w:sz w:val="17"/>
              </w:rPr>
              <w:t>2025</w:t>
            </w:r>
          </w:p>
        </w:tc>
        <w:tc>
          <w:tcPr>
            <w:tcW w:w="808" w:type="dxa"/>
            <w:shd w:val="clear" w:color="auto" w:fill="1F3864"/>
          </w:tcPr>
          <w:p w14:paraId="3933705F" w14:textId="77777777" w:rsidR="00A37447" w:rsidRDefault="00A37447">
            <w:pPr>
              <w:keepNext/>
              <w:jc w:val="right"/>
            </w:pPr>
            <w:r>
              <w:rPr>
                <w:b/>
                <w:color w:val="FFFFFF"/>
                <w:sz w:val="17"/>
              </w:rPr>
              <w:t>Var. % 2025 vs 2024</w:t>
            </w:r>
          </w:p>
        </w:tc>
        <w:tc>
          <w:tcPr>
            <w:tcW w:w="808" w:type="dxa"/>
            <w:shd w:val="clear" w:color="auto" w:fill="1F3864"/>
          </w:tcPr>
          <w:p w14:paraId="056ABCEA" w14:textId="77777777" w:rsidR="00A37447" w:rsidRDefault="00A37447">
            <w:pPr>
              <w:keepNext/>
              <w:jc w:val="right"/>
            </w:pPr>
            <w:r>
              <w:rPr>
                <w:b/>
                <w:color w:val="FFFFFF"/>
                <w:sz w:val="17"/>
              </w:rPr>
              <w:t>TACC 2021-2025</w:t>
            </w:r>
          </w:p>
        </w:tc>
      </w:tr>
      <w:tr w:rsidR="00855697" w14:paraId="1BBC77B7" w14:textId="77777777">
        <w:trPr>
          <w:cantSplit/>
        </w:trPr>
        <w:tc>
          <w:tcPr>
            <w:tcW w:w="1400" w:type="dxa"/>
            <w:noWrap/>
          </w:tcPr>
          <w:p w14:paraId="63989D50" w14:textId="77777777" w:rsidR="00A37447" w:rsidRDefault="00A37447">
            <w:pPr>
              <w:keepNext/>
              <w:spacing w:after="20"/>
            </w:pPr>
            <w:r>
              <w:rPr>
                <w:sz w:val="17"/>
              </w:rPr>
              <w:t>Residencial</w:t>
            </w:r>
          </w:p>
        </w:tc>
        <w:tc>
          <w:tcPr>
            <w:tcW w:w="1097" w:type="dxa"/>
            <w:noWrap/>
          </w:tcPr>
          <w:p w14:paraId="70D7F1E2" w14:textId="77777777" w:rsidR="00A37447" w:rsidRDefault="00A37447">
            <w:pPr>
              <w:keepNext/>
              <w:spacing w:after="20"/>
              <w:jc w:val="right"/>
            </w:pPr>
            <w:r>
              <w:rPr>
                <w:sz w:val="16"/>
              </w:rPr>
              <w:t>1.551.349</w:t>
            </w:r>
          </w:p>
        </w:tc>
        <w:tc>
          <w:tcPr>
            <w:tcW w:w="1097" w:type="dxa"/>
            <w:noWrap/>
          </w:tcPr>
          <w:p w14:paraId="2767538E" w14:textId="77777777" w:rsidR="00A37447" w:rsidRDefault="00A37447">
            <w:pPr>
              <w:keepNext/>
              <w:spacing w:after="20"/>
              <w:jc w:val="right"/>
            </w:pPr>
            <w:r>
              <w:rPr>
                <w:sz w:val="16"/>
              </w:rPr>
              <w:t>1.848.884</w:t>
            </w:r>
          </w:p>
        </w:tc>
        <w:tc>
          <w:tcPr>
            <w:tcW w:w="1097" w:type="dxa"/>
            <w:noWrap/>
          </w:tcPr>
          <w:p w14:paraId="41FD2A27" w14:textId="77777777" w:rsidR="00A37447" w:rsidRDefault="00A37447">
            <w:pPr>
              <w:keepNext/>
              <w:spacing w:after="20"/>
              <w:jc w:val="right"/>
            </w:pPr>
            <w:r>
              <w:rPr>
                <w:sz w:val="16"/>
              </w:rPr>
              <w:t>2.130.075</w:t>
            </w:r>
          </w:p>
        </w:tc>
        <w:tc>
          <w:tcPr>
            <w:tcW w:w="1097" w:type="dxa"/>
            <w:noWrap/>
          </w:tcPr>
          <w:p w14:paraId="28470385" w14:textId="77777777" w:rsidR="00A37447" w:rsidRDefault="00A37447">
            <w:pPr>
              <w:keepNext/>
              <w:spacing w:after="20"/>
              <w:jc w:val="right"/>
            </w:pPr>
            <w:r>
              <w:rPr>
                <w:sz w:val="16"/>
              </w:rPr>
              <w:t>2.403.501</w:t>
            </w:r>
          </w:p>
        </w:tc>
        <w:tc>
          <w:tcPr>
            <w:tcW w:w="1097" w:type="dxa"/>
            <w:noWrap/>
          </w:tcPr>
          <w:p w14:paraId="475EC7A1" w14:textId="77777777" w:rsidR="00A37447" w:rsidRDefault="00A37447">
            <w:pPr>
              <w:keepNext/>
              <w:spacing w:after="20"/>
              <w:jc w:val="right"/>
            </w:pPr>
            <w:r>
              <w:rPr>
                <w:sz w:val="16"/>
              </w:rPr>
              <w:t>2.548.551</w:t>
            </w:r>
          </w:p>
        </w:tc>
        <w:tc>
          <w:tcPr>
            <w:tcW w:w="808" w:type="dxa"/>
            <w:noWrap/>
          </w:tcPr>
          <w:p w14:paraId="1A1D3BD0" w14:textId="77777777" w:rsidR="00A37447" w:rsidRDefault="00A37447">
            <w:pPr>
              <w:keepNext/>
              <w:spacing w:after="20"/>
              <w:jc w:val="right"/>
            </w:pPr>
            <w:r>
              <w:rPr>
                <w:sz w:val="16"/>
              </w:rPr>
              <w:t>6,0 %</w:t>
            </w:r>
          </w:p>
        </w:tc>
        <w:tc>
          <w:tcPr>
            <w:tcW w:w="808" w:type="dxa"/>
            <w:noWrap/>
          </w:tcPr>
          <w:p w14:paraId="6E8C699C" w14:textId="77777777" w:rsidR="00A37447" w:rsidRDefault="00A37447">
            <w:pPr>
              <w:keepNext/>
              <w:spacing w:after="20"/>
              <w:jc w:val="right"/>
            </w:pPr>
            <w:r>
              <w:rPr>
                <w:sz w:val="16"/>
              </w:rPr>
              <w:t>13,2 %</w:t>
            </w:r>
          </w:p>
        </w:tc>
      </w:tr>
      <w:tr w:rsidR="00855697" w14:paraId="5A4F42E3" w14:textId="77777777">
        <w:trPr>
          <w:cantSplit/>
        </w:trPr>
        <w:tc>
          <w:tcPr>
            <w:tcW w:w="1400" w:type="dxa"/>
            <w:noWrap/>
          </w:tcPr>
          <w:p w14:paraId="28496CA4" w14:textId="77777777" w:rsidR="00A37447" w:rsidRDefault="00A37447">
            <w:pPr>
              <w:keepNext/>
              <w:spacing w:after="20"/>
            </w:pPr>
            <w:r>
              <w:rPr>
                <w:sz w:val="17"/>
              </w:rPr>
              <w:t>Comercial</w:t>
            </w:r>
          </w:p>
        </w:tc>
        <w:tc>
          <w:tcPr>
            <w:tcW w:w="1097" w:type="dxa"/>
            <w:noWrap/>
          </w:tcPr>
          <w:p w14:paraId="23D99C28" w14:textId="77777777" w:rsidR="00A37447" w:rsidRDefault="00A37447">
            <w:pPr>
              <w:keepNext/>
              <w:spacing w:after="20"/>
              <w:jc w:val="right"/>
            </w:pPr>
            <w:r>
              <w:rPr>
                <w:sz w:val="16"/>
              </w:rPr>
              <w:t>16.535</w:t>
            </w:r>
          </w:p>
        </w:tc>
        <w:tc>
          <w:tcPr>
            <w:tcW w:w="1097" w:type="dxa"/>
            <w:noWrap/>
          </w:tcPr>
          <w:p w14:paraId="6E48766E" w14:textId="77777777" w:rsidR="00A37447" w:rsidRDefault="00A37447">
            <w:pPr>
              <w:keepNext/>
              <w:spacing w:after="20"/>
              <w:jc w:val="right"/>
            </w:pPr>
            <w:r>
              <w:rPr>
                <w:sz w:val="16"/>
              </w:rPr>
              <w:t>24.449</w:t>
            </w:r>
          </w:p>
        </w:tc>
        <w:tc>
          <w:tcPr>
            <w:tcW w:w="1097" w:type="dxa"/>
            <w:noWrap/>
          </w:tcPr>
          <w:p w14:paraId="6CF45A3C" w14:textId="77777777" w:rsidR="00A37447" w:rsidRDefault="00A37447">
            <w:pPr>
              <w:keepNext/>
              <w:spacing w:after="20"/>
              <w:jc w:val="right"/>
            </w:pPr>
            <w:r>
              <w:rPr>
                <w:sz w:val="16"/>
              </w:rPr>
              <w:t>31.361</w:t>
            </w:r>
          </w:p>
        </w:tc>
        <w:tc>
          <w:tcPr>
            <w:tcW w:w="1097" w:type="dxa"/>
            <w:noWrap/>
          </w:tcPr>
          <w:p w14:paraId="7536AECC" w14:textId="77777777" w:rsidR="00A37447" w:rsidRDefault="00A37447">
            <w:pPr>
              <w:keepNext/>
              <w:spacing w:after="20"/>
              <w:jc w:val="right"/>
            </w:pPr>
            <w:r>
              <w:rPr>
                <w:sz w:val="16"/>
              </w:rPr>
              <w:t>36.623</w:t>
            </w:r>
          </w:p>
        </w:tc>
        <w:tc>
          <w:tcPr>
            <w:tcW w:w="1097" w:type="dxa"/>
            <w:noWrap/>
          </w:tcPr>
          <w:p w14:paraId="4DDCC3D1" w14:textId="77777777" w:rsidR="00A37447" w:rsidRDefault="00A37447">
            <w:pPr>
              <w:keepNext/>
              <w:spacing w:after="20"/>
              <w:jc w:val="right"/>
            </w:pPr>
            <w:r>
              <w:rPr>
                <w:sz w:val="16"/>
              </w:rPr>
              <w:t>38.529</w:t>
            </w:r>
          </w:p>
        </w:tc>
        <w:tc>
          <w:tcPr>
            <w:tcW w:w="808" w:type="dxa"/>
            <w:noWrap/>
          </w:tcPr>
          <w:p w14:paraId="2950FE92" w14:textId="77777777" w:rsidR="00A37447" w:rsidRDefault="00A37447">
            <w:pPr>
              <w:keepNext/>
              <w:spacing w:after="20"/>
              <w:jc w:val="right"/>
            </w:pPr>
            <w:r>
              <w:rPr>
                <w:sz w:val="16"/>
              </w:rPr>
              <w:t>5,2 %</w:t>
            </w:r>
          </w:p>
        </w:tc>
        <w:tc>
          <w:tcPr>
            <w:tcW w:w="808" w:type="dxa"/>
            <w:noWrap/>
          </w:tcPr>
          <w:p w14:paraId="2342F21F" w14:textId="77777777" w:rsidR="00A37447" w:rsidRDefault="00A37447">
            <w:pPr>
              <w:keepNext/>
              <w:spacing w:after="20"/>
              <w:jc w:val="right"/>
            </w:pPr>
            <w:r>
              <w:rPr>
                <w:sz w:val="16"/>
              </w:rPr>
              <w:t>23,6 %</w:t>
            </w:r>
          </w:p>
        </w:tc>
      </w:tr>
      <w:tr w:rsidR="00855697" w14:paraId="1F08BBFD" w14:textId="77777777">
        <w:trPr>
          <w:cantSplit/>
        </w:trPr>
        <w:tc>
          <w:tcPr>
            <w:tcW w:w="1400" w:type="dxa"/>
            <w:noWrap/>
          </w:tcPr>
          <w:p w14:paraId="2DC5DE13" w14:textId="77777777" w:rsidR="00A37447" w:rsidRDefault="00A37447">
            <w:pPr>
              <w:keepNext/>
              <w:spacing w:after="20"/>
            </w:pPr>
            <w:r>
              <w:rPr>
                <w:sz w:val="17"/>
              </w:rPr>
              <w:t>Industrial</w:t>
            </w:r>
          </w:p>
        </w:tc>
        <w:tc>
          <w:tcPr>
            <w:tcW w:w="1097" w:type="dxa"/>
            <w:noWrap/>
          </w:tcPr>
          <w:p w14:paraId="1AE5500D" w14:textId="77777777" w:rsidR="00A37447" w:rsidRDefault="00A37447">
            <w:pPr>
              <w:keepNext/>
              <w:spacing w:after="20"/>
              <w:jc w:val="right"/>
            </w:pPr>
            <w:r>
              <w:rPr>
                <w:sz w:val="16"/>
              </w:rPr>
              <w:t>850</w:t>
            </w:r>
          </w:p>
        </w:tc>
        <w:tc>
          <w:tcPr>
            <w:tcW w:w="1097" w:type="dxa"/>
            <w:noWrap/>
          </w:tcPr>
          <w:p w14:paraId="6A3CD1B2" w14:textId="77777777" w:rsidR="00A37447" w:rsidRDefault="00A37447">
            <w:pPr>
              <w:keepNext/>
              <w:spacing w:after="20"/>
              <w:jc w:val="right"/>
            </w:pPr>
            <w:r>
              <w:rPr>
                <w:sz w:val="16"/>
              </w:rPr>
              <w:t>914</w:t>
            </w:r>
          </w:p>
        </w:tc>
        <w:tc>
          <w:tcPr>
            <w:tcW w:w="1097" w:type="dxa"/>
            <w:noWrap/>
          </w:tcPr>
          <w:p w14:paraId="3A4584BD" w14:textId="77777777" w:rsidR="00A37447" w:rsidRDefault="00A37447">
            <w:pPr>
              <w:keepNext/>
              <w:spacing w:after="20"/>
              <w:jc w:val="right"/>
            </w:pPr>
            <w:r>
              <w:rPr>
                <w:sz w:val="16"/>
              </w:rPr>
              <w:t>1.000</w:t>
            </w:r>
          </w:p>
        </w:tc>
        <w:tc>
          <w:tcPr>
            <w:tcW w:w="1097" w:type="dxa"/>
            <w:noWrap/>
          </w:tcPr>
          <w:p w14:paraId="18020FCB" w14:textId="77777777" w:rsidR="00A37447" w:rsidRDefault="00A37447">
            <w:pPr>
              <w:keepNext/>
              <w:spacing w:after="20"/>
              <w:jc w:val="right"/>
            </w:pPr>
            <w:r>
              <w:rPr>
                <w:sz w:val="16"/>
              </w:rPr>
              <w:t>1.087</w:t>
            </w:r>
          </w:p>
        </w:tc>
        <w:tc>
          <w:tcPr>
            <w:tcW w:w="1097" w:type="dxa"/>
            <w:noWrap/>
          </w:tcPr>
          <w:p w14:paraId="22249D03" w14:textId="77777777" w:rsidR="00A37447" w:rsidRDefault="00A37447">
            <w:pPr>
              <w:keepNext/>
              <w:spacing w:after="20"/>
              <w:jc w:val="right"/>
            </w:pPr>
            <w:r>
              <w:rPr>
                <w:sz w:val="16"/>
              </w:rPr>
              <w:t>1.167</w:t>
            </w:r>
          </w:p>
        </w:tc>
        <w:tc>
          <w:tcPr>
            <w:tcW w:w="808" w:type="dxa"/>
            <w:noWrap/>
          </w:tcPr>
          <w:p w14:paraId="71A853C1" w14:textId="77777777" w:rsidR="00A37447" w:rsidRDefault="00A37447">
            <w:pPr>
              <w:keepNext/>
              <w:spacing w:after="20"/>
              <w:jc w:val="right"/>
            </w:pPr>
            <w:r>
              <w:rPr>
                <w:sz w:val="16"/>
              </w:rPr>
              <w:t>7,4 %</w:t>
            </w:r>
          </w:p>
        </w:tc>
        <w:tc>
          <w:tcPr>
            <w:tcW w:w="808" w:type="dxa"/>
            <w:noWrap/>
          </w:tcPr>
          <w:p w14:paraId="61A200E2" w14:textId="77777777" w:rsidR="00A37447" w:rsidRDefault="00A37447">
            <w:pPr>
              <w:keepNext/>
              <w:spacing w:after="20"/>
              <w:jc w:val="right"/>
            </w:pPr>
            <w:r>
              <w:rPr>
                <w:sz w:val="16"/>
              </w:rPr>
              <w:t>8,2 %</w:t>
            </w:r>
          </w:p>
        </w:tc>
      </w:tr>
      <w:tr w:rsidR="00855697" w14:paraId="0655C911" w14:textId="77777777">
        <w:trPr>
          <w:cantSplit/>
        </w:trPr>
        <w:tc>
          <w:tcPr>
            <w:tcW w:w="1400" w:type="dxa"/>
          </w:tcPr>
          <w:p w14:paraId="2D20A33E" w14:textId="77777777" w:rsidR="00A37447" w:rsidRPr="0036111A" w:rsidRDefault="00A37447">
            <w:pPr>
              <w:keepNext/>
              <w:spacing w:after="20"/>
              <w:rPr>
                <w:lang w:val="es-PE"/>
              </w:rPr>
            </w:pPr>
            <w:r w:rsidRPr="0036111A">
              <w:rPr>
                <w:sz w:val="17"/>
                <w:lang w:val="es-PE"/>
              </w:rPr>
              <w:t>Estaciones de servicio de GNV</w:t>
            </w:r>
          </w:p>
        </w:tc>
        <w:tc>
          <w:tcPr>
            <w:tcW w:w="1097" w:type="dxa"/>
            <w:noWrap/>
          </w:tcPr>
          <w:p w14:paraId="58233C31" w14:textId="77777777" w:rsidR="00A37447" w:rsidRDefault="00A37447">
            <w:pPr>
              <w:keepNext/>
              <w:spacing w:after="20"/>
              <w:jc w:val="right"/>
            </w:pPr>
            <w:r>
              <w:rPr>
                <w:sz w:val="16"/>
              </w:rPr>
              <w:t>303</w:t>
            </w:r>
          </w:p>
        </w:tc>
        <w:tc>
          <w:tcPr>
            <w:tcW w:w="1097" w:type="dxa"/>
            <w:noWrap/>
          </w:tcPr>
          <w:p w14:paraId="5AC90641" w14:textId="77777777" w:rsidR="00A37447" w:rsidRDefault="00A37447">
            <w:pPr>
              <w:keepNext/>
              <w:spacing w:after="20"/>
              <w:jc w:val="right"/>
            </w:pPr>
            <w:r>
              <w:rPr>
                <w:sz w:val="16"/>
              </w:rPr>
              <w:t>307</w:t>
            </w:r>
          </w:p>
        </w:tc>
        <w:tc>
          <w:tcPr>
            <w:tcW w:w="1097" w:type="dxa"/>
            <w:noWrap/>
          </w:tcPr>
          <w:p w14:paraId="6D01DF60" w14:textId="77777777" w:rsidR="00A37447" w:rsidRDefault="00A37447">
            <w:pPr>
              <w:keepNext/>
              <w:spacing w:after="20"/>
              <w:jc w:val="right"/>
            </w:pPr>
            <w:r>
              <w:rPr>
                <w:sz w:val="16"/>
              </w:rPr>
              <w:t>310</w:t>
            </w:r>
          </w:p>
        </w:tc>
        <w:tc>
          <w:tcPr>
            <w:tcW w:w="1097" w:type="dxa"/>
            <w:noWrap/>
          </w:tcPr>
          <w:p w14:paraId="7BE35810" w14:textId="77777777" w:rsidR="00A37447" w:rsidRDefault="00A37447">
            <w:pPr>
              <w:keepNext/>
              <w:spacing w:after="20"/>
              <w:jc w:val="right"/>
            </w:pPr>
            <w:r>
              <w:rPr>
                <w:sz w:val="16"/>
              </w:rPr>
              <w:t>318</w:t>
            </w:r>
          </w:p>
        </w:tc>
        <w:tc>
          <w:tcPr>
            <w:tcW w:w="1097" w:type="dxa"/>
            <w:noWrap/>
          </w:tcPr>
          <w:p w14:paraId="5BB6571F" w14:textId="77777777" w:rsidR="00A37447" w:rsidRDefault="00A37447">
            <w:pPr>
              <w:keepNext/>
              <w:spacing w:after="20"/>
              <w:jc w:val="right"/>
            </w:pPr>
            <w:r>
              <w:rPr>
                <w:sz w:val="16"/>
              </w:rPr>
              <w:t>324</w:t>
            </w:r>
          </w:p>
        </w:tc>
        <w:tc>
          <w:tcPr>
            <w:tcW w:w="808" w:type="dxa"/>
            <w:noWrap/>
          </w:tcPr>
          <w:p w14:paraId="7D391D18" w14:textId="77777777" w:rsidR="00A37447" w:rsidRDefault="00A37447">
            <w:pPr>
              <w:keepNext/>
              <w:spacing w:after="20"/>
              <w:jc w:val="right"/>
            </w:pPr>
            <w:r>
              <w:rPr>
                <w:sz w:val="16"/>
              </w:rPr>
              <w:t>1,9 %</w:t>
            </w:r>
          </w:p>
        </w:tc>
        <w:tc>
          <w:tcPr>
            <w:tcW w:w="808" w:type="dxa"/>
            <w:noWrap/>
          </w:tcPr>
          <w:p w14:paraId="131E23F2" w14:textId="77777777" w:rsidR="00A37447" w:rsidRDefault="00A37447">
            <w:pPr>
              <w:keepNext/>
              <w:spacing w:after="20"/>
              <w:jc w:val="right"/>
            </w:pPr>
            <w:r>
              <w:rPr>
                <w:sz w:val="16"/>
              </w:rPr>
              <w:t>1,7 %</w:t>
            </w:r>
          </w:p>
        </w:tc>
      </w:tr>
      <w:tr w:rsidR="00855697" w14:paraId="107434C1" w14:textId="77777777">
        <w:trPr>
          <w:cantSplit/>
        </w:trPr>
        <w:tc>
          <w:tcPr>
            <w:tcW w:w="1400" w:type="dxa"/>
          </w:tcPr>
          <w:p w14:paraId="240F55F6" w14:textId="77777777" w:rsidR="00A37447" w:rsidRDefault="00A37447">
            <w:pPr>
              <w:keepNext/>
              <w:spacing w:after="20"/>
            </w:pPr>
            <w:r>
              <w:rPr>
                <w:sz w:val="17"/>
              </w:rPr>
              <w:t>Generación eléctrica</w:t>
            </w:r>
          </w:p>
        </w:tc>
        <w:tc>
          <w:tcPr>
            <w:tcW w:w="1097" w:type="dxa"/>
            <w:noWrap/>
          </w:tcPr>
          <w:p w14:paraId="7B618E76" w14:textId="77777777" w:rsidR="00A37447" w:rsidRDefault="00A37447">
            <w:pPr>
              <w:keepNext/>
              <w:spacing w:after="20"/>
              <w:jc w:val="right"/>
            </w:pPr>
            <w:r>
              <w:rPr>
                <w:sz w:val="16"/>
              </w:rPr>
              <w:t>35</w:t>
            </w:r>
          </w:p>
        </w:tc>
        <w:tc>
          <w:tcPr>
            <w:tcW w:w="1097" w:type="dxa"/>
            <w:noWrap/>
          </w:tcPr>
          <w:p w14:paraId="68A34BBC" w14:textId="77777777" w:rsidR="00A37447" w:rsidRDefault="00A37447">
            <w:pPr>
              <w:keepNext/>
              <w:spacing w:after="20"/>
              <w:jc w:val="right"/>
            </w:pPr>
            <w:r>
              <w:rPr>
                <w:sz w:val="16"/>
              </w:rPr>
              <w:t>38</w:t>
            </w:r>
          </w:p>
        </w:tc>
        <w:tc>
          <w:tcPr>
            <w:tcW w:w="1097" w:type="dxa"/>
            <w:noWrap/>
          </w:tcPr>
          <w:p w14:paraId="5B9D69B3" w14:textId="77777777" w:rsidR="00A37447" w:rsidRDefault="00A37447">
            <w:pPr>
              <w:keepNext/>
              <w:spacing w:after="20"/>
              <w:jc w:val="right"/>
            </w:pPr>
            <w:r>
              <w:rPr>
                <w:sz w:val="16"/>
              </w:rPr>
              <w:t>38</w:t>
            </w:r>
          </w:p>
        </w:tc>
        <w:tc>
          <w:tcPr>
            <w:tcW w:w="1097" w:type="dxa"/>
            <w:noWrap/>
          </w:tcPr>
          <w:p w14:paraId="40ECE247" w14:textId="77777777" w:rsidR="00A37447" w:rsidRDefault="00A37447">
            <w:pPr>
              <w:keepNext/>
              <w:spacing w:after="20"/>
              <w:jc w:val="right"/>
            </w:pPr>
            <w:r>
              <w:rPr>
                <w:sz w:val="16"/>
              </w:rPr>
              <w:t>46</w:t>
            </w:r>
          </w:p>
        </w:tc>
        <w:tc>
          <w:tcPr>
            <w:tcW w:w="1097" w:type="dxa"/>
            <w:noWrap/>
          </w:tcPr>
          <w:p w14:paraId="5AB186FF" w14:textId="77777777" w:rsidR="00A37447" w:rsidRDefault="00A37447">
            <w:pPr>
              <w:keepNext/>
              <w:spacing w:after="20"/>
              <w:jc w:val="right"/>
            </w:pPr>
            <w:r>
              <w:rPr>
                <w:sz w:val="16"/>
              </w:rPr>
              <w:t>50</w:t>
            </w:r>
          </w:p>
        </w:tc>
        <w:tc>
          <w:tcPr>
            <w:tcW w:w="808" w:type="dxa"/>
            <w:noWrap/>
          </w:tcPr>
          <w:p w14:paraId="6794D03B" w14:textId="77777777" w:rsidR="00A37447" w:rsidRDefault="00A37447">
            <w:pPr>
              <w:keepNext/>
              <w:spacing w:after="20"/>
              <w:jc w:val="right"/>
            </w:pPr>
            <w:r>
              <w:rPr>
                <w:sz w:val="16"/>
              </w:rPr>
              <w:t>8,7 %</w:t>
            </w:r>
          </w:p>
        </w:tc>
        <w:tc>
          <w:tcPr>
            <w:tcW w:w="808" w:type="dxa"/>
            <w:noWrap/>
          </w:tcPr>
          <w:p w14:paraId="53056157" w14:textId="77777777" w:rsidR="00A37447" w:rsidRDefault="00A37447">
            <w:pPr>
              <w:keepNext/>
              <w:spacing w:after="20"/>
              <w:jc w:val="right"/>
            </w:pPr>
            <w:r>
              <w:rPr>
                <w:sz w:val="16"/>
              </w:rPr>
              <w:t>9,3 %</w:t>
            </w:r>
          </w:p>
        </w:tc>
      </w:tr>
      <w:tr w:rsidR="00855697" w14:paraId="496AFFEA" w14:textId="77777777">
        <w:trPr>
          <w:cantSplit/>
        </w:trPr>
        <w:tc>
          <w:tcPr>
            <w:tcW w:w="1400" w:type="dxa"/>
            <w:noWrap/>
          </w:tcPr>
          <w:p w14:paraId="5518840A" w14:textId="77777777" w:rsidR="00A37447" w:rsidRDefault="00A37447">
            <w:pPr>
              <w:keepNext/>
              <w:spacing w:after="20"/>
            </w:pPr>
            <w:r>
              <w:rPr>
                <w:b/>
                <w:sz w:val="17"/>
              </w:rPr>
              <w:t>Total</w:t>
            </w:r>
          </w:p>
        </w:tc>
        <w:tc>
          <w:tcPr>
            <w:tcW w:w="1097" w:type="dxa"/>
            <w:noWrap/>
          </w:tcPr>
          <w:p w14:paraId="288E48C1" w14:textId="77777777" w:rsidR="00A37447" w:rsidRDefault="00A37447">
            <w:pPr>
              <w:keepNext/>
              <w:spacing w:after="20"/>
              <w:jc w:val="right"/>
            </w:pPr>
            <w:r>
              <w:rPr>
                <w:sz w:val="16"/>
              </w:rPr>
              <w:t>1.569.072</w:t>
            </w:r>
          </w:p>
        </w:tc>
        <w:tc>
          <w:tcPr>
            <w:tcW w:w="1097" w:type="dxa"/>
            <w:noWrap/>
          </w:tcPr>
          <w:p w14:paraId="7589D4C6" w14:textId="77777777" w:rsidR="00A37447" w:rsidRDefault="00A37447">
            <w:pPr>
              <w:keepNext/>
              <w:spacing w:after="20"/>
              <w:jc w:val="right"/>
            </w:pPr>
            <w:r>
              <w:rPr>
                <w:sz w:val="16"/>
              </w:rPr>
              <w:t>1.874.592</w:t>
            </w:r>
          </w:p>
        </w:tc>
        <w:tc>
          <w:tcPr>
            <w:tcW w:w="1097" w:type="dxa"/>
            <w:noWrap/>
          </w:tcPr>
          <w:p w14:paraId="43B4A6C4" w14:textId="77777777" w:rsidR="00A37447" w:rsidRDefault="00A37447">
            <w:pPr>
              <w:keepNext/>
              <w:spacing w:after="20"/>
              <w:jc w:val="right"/>
            </w:pPr>
            <w:r>
              <w:rPr>
                <w:sz w:val="16"/>
              </w:rPr>
              <w:t>2.162.784</w:t>
            </w:r>
          </w:p>
        </w:tc>
        <w:tc>
          <w:tcPr>
            <w:tcW w:w="1097" w:type="dxa"/>
            <w:noWrap/>
          </w:tcPr>
          <w:p w14:paraId="046E8A58" w14:textId="77777777" w:rsidR="00A37447" w:rsidRDefault="00A37447">
            <w:pPr>
              <w:keepNext/>
              <w:spacing w:after="20"/>
              <w:jc w:val="right"/>
            </w:pPr>
            <w:r>
              <w:rPr>
                <w:sz w:val="16"/>
              </w:rPr>
              <w:t>2.441.575</w:t>
            </w:r>
          </w:p>
        </w:tc>
        <w:tc>
          <w:tcPr>
            <w:tcW w:w="1097" w:type="dxa"/>
            <w:noWrap/>
          </w:tcPr>
          <w:p w14:paraId="1FBDFCFB" w14:textId="77777777" w:rsidR="00A37447" w:rsidRDefault="00A37447">
            <w:pPr>
              <w:keepNext/>
              <w:spacing w:after="20"/>
              <w:jc w:val="right"/>
            </w:pPr>
            <w:r>
              <w:rPr>
                <w:sz w:val="16"/>
              </w:rPr>
              <w:t>2.588.621</w:t>
            </w:r>
          </w:p>
        </w:tc>
        <w:tc>
          <w:tcPr>
            <w:tcW w:w="808" w:type="dxa"/>
            <w:noWrap/>
          </w:tcPr>
          <w:p w14:paraId="569EE6B3" w14:textId="77777777" w:rsidR="00A37447" w:rsidRDefault="00A37447">
            <w:pPr>
              <w:keepNext/>
              <w:spacing w:after="20"/>
              <w:jc w:val="right"/>
            </w:pPr>
            <w:r>
              <w:rPr>
                <w:sz w:val="16"/>
              </w:rPr>
              <w:t>6,0 %</w:t>
            </w:r>
          </w:p>
        </w:tc>
        <w:tc>
          <w:tcPr>
            <w:tcW w:w="808" w:type="dxa"/>
            <w:noWrap/>
          </w:tcPr>
          <w:p w14:paraId="29053FBD" w14:textId="77777777" w:rsidR="00A37447" w:rsidRDefault="00A37447">
            <w:pPr>
              <w:keepNext/>
              <w:spacing w:after="20"/>
              <w:jc w:val="right"/>
            </w:pPr>
            <w:r>
              <w:rPr>
                <w:sz w:val="16"/>
              </w:rPr>
              <w:t>13,3 %</w:t>
            </w:r>
          </w:p>
        </w:tc>
      </w:tr>
    </w:tbl>
    <w:p w14:paraId="28E88E13" w14:textId="77777777" w:rsidR="00A37447" w:rsidRDefault="00A37447">
      <w:pPr>
        <w:keepNext/>
        <w:keepLines/>
        <w:spacing w:before="40"/>
        <w:jc w:val="right"/>
      </w:pPr>
      <w:r>
        <w:rPr>
          <w:b/>
          <w:color w:val="404040"/>
          <w:sz w:val="15"/>
        </w:rPr>
        <w:t>FUENTE: Empresas del sector, Osinergmin</w:t>
      </w:r>
    </w:p>
    <w:p w14:paraId="7C9F2F1D" w14:textId="77777777" w:rsidR="00A37447" w:rsidRPr="0036111A" w:rsidRDefault="00A37447">
      <w:pPr>
        <w:keepNext/>
        <w:keepLines/>
        <w:spacing w:before="120" w:after="20"/>
        <w:rPr>
          <w:lang w:val="es-PE"/>
        </w:rPr>
      </w:pPr>
      <w:r w:rsidRPr="0036111A">
        <w:rPr>
          <w:b/>
          <w:color w:val="00838F"/>
          <w:sz w:val="20"/>
          <w:lang w:val="es-PE"/>
        </w:rPr>
        <w:t>REDES DE DISTRIBUCIÓN DE GAS NATURAL</w:t>
      </w:r>
    </w:p>
    <w:p w14:paraId="01DF5EEE" w14:textId="77777777" w:rsidR="00A37447" w:rsidRDefault="00A37447">
      <w:pPr>
        <w:keepNext/>
        <w:keepLines/>
        <w:spacing w:after="60"/>
      </w:pPr>
      <w:r>
        <w:rPr>
          <w:i/>
          <w:sz w:val="17"/>
        </w:rPr>
        <w:t>Kilómetros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2150"/>
        <w:gridCol w:w="908"/>
        <w:gridCol w:w="908"/>
        <w:gridCol w:w="908"/>
        <w:gridCol w:w="908"/>
        <w:gridCol w:w="908"/>
        <w:gridCol w:w="908"/>
        <w:gridCol w:w="908"/>
      </w:tblGrid>
      <w:tr w:rsidR="00855697" w14:paraId="6532C23D" w14:textId="77777777">
        <w:trPr>
          <w:cantSplit/>
          <w:tblHeader/>
        </w:trPr>
        <w:tc>
          <w:tcPr>
            <w:tcW w:w="2150" w:type="dxa"/>
            <w:shd w:val="clear" w:color="auto" w:fill="1F3864"/>
          </w:tcPr>
          <w:p w14:paraId="71497972" w14:textId="77777777" w:rsidR="00A37447" w:rsidRDefault="00A37447">
            <w:pPr>
              <w:keepNext/>
            </w:pPr>
            <w:r>
              <w:rPr>
                <w:b/>
                <w:color w:val="FFFFFF"/>
                <w:sz w:val="17"/>
              </w:rPr>
              <w:t>Concesionaria</w:t>
            </w:r>
          </w:p>
        </w:tc>
        <w:tc>
          <w:tcPr>
            <w:tcW w:w="908" w:type="dxa"/>
            <w:shd w:val="clear" w:color="auto" w:fill="1F3864"/>
            <w:noWrap/>
          </w:tcPr>
          <w:p w14:paraId="2AC4F1F8" w14:textId="77777777" w:rsidR="00A37447" w:rsidRDefault="00A37447">
            <w:pPr>
              <w:keepNext/>
              <w:jc w:val="right"/>
            </w:pPr>
            <w:r>
              <w:rPr>
                <w:b/>
                <w:color w:val="FFFFFF"/>
                <w:sz w:val="17"/>
              </w:rPr>
              <w:t>2021</w:t>
            </w:r>
          </w:p>
        </w:tc>
        <w:tc>
          <w:tcPr>
            <w:tcW w:w="908" w:type="dxa"/>
            <w:shd w:val="clear" w:color="auto" w:fill="1F3864"/>
            <w:noWrap/>
          </w:tcPr>
          <w:p w14:paraId="608382B2" w14:textId="77777777" w:rsidR="00A37447" w:rsidRDefault="00A37447">
            <w:pPr>
              <w:keepNext/>
              <w:jc w:val="right"/>
            </w:pPr>
            <w:r>
              <w:rPr>
                <w:b/>
                <w:color w:val="FFFFFF"/>
                <w:sz w:val="17"/>
              </w:rPr>
              <w:t>2022</w:t>
            </w:r>
          </w:p>
        </w:tc>
        <w:tc>
          <w:tcPr>
            <w:tcW w:w="908" w:type="dxa"/>
            <w:shd w:val="clear" w:color="auto" w:fill="1F3864"/>
            <w:noWrap/>
          </w:tcPr>
          <w:p w14:paraId="3039CB12" w14:textId="77777777" w:rsidR="00A37447" w:rsidRDefault="00A37447">
            <w:pPr>
              <w:keepNext/>
              <w:jc w:val="right"/>
            </w:pPr>
            <w:r>
              <w:rPr>
                <w:b/>
                <w:color w:val="FFFFFF"/>
                <w:sz w:val="17"/>
              </w:rPr>
              <w:t>2023</w:t>
            </w:r>
          </w:p>
        </w:tc>
        <w:tc>
          <w:tcPr>
            <w:tcW w:w="908" w:type="dxa"/>
            <w:shd w:val="clear" w:color="auto" w:fill="1F3864"/>
            <w:noWrap/>
          </w:tcPr>
          <w:p w14:paraId="3430344D" w14:textId="77777777" w:rsidR="00A37447" w:rsidRDefault="00A37447">
            <w:pPr>
              <w:keepNext/>
              <w:jc w:val="right"/>
            </w:pPr>
            <w:r>
              <w:rPr>
                <w:b/>
                <w:color w:val="FFFFFF"/>
                <w:sz w:val="17"/>
              </w:rPr>
              <w:t>2024</w:t>
            </w:r>
          </w:p>
        </w:tc>
        <w:tc>
          <w:tcPr>
            <w:tcW w:w="908" w:type="dxa"/>
            <w:shd w:val="clear" w:color="auto" w:fill="1F3864"/>
            <w:noWrap/>
          </w:tcPr>
          <w:p w14:paraId="385341BE" w14:textId="77777777" w:rsidR="00A37447" w:rsidRDefault="00A37447">
            <w:pPr>
              <w:keepNext/>
              <w:jc w:val="right"/>
            </w:pPr>
            <w:r>
              <w:rPr>
                <w:b/>
                <w:color w:val="FFFFFF"/>
                <w:sz w:val="17"/>
              </w:rPr>
              <w:t>2025</w:t>
            </w:r>
          </w:p>
        </w:tc>
        <w:tc>
          <w:tcPr>
            <w:tcW w:w="908" w:type="dxa"/>
            <w:shd w:val="clear" w:color="auto" w:fill="1F3864"/>
          </w:tcPr>
          <w:p w14:paraId="6D0DF2B5" w14:textId="77777777" w:rsidR="00A37447" w:rsidRDefault="00A37447">
            <w:pPr>
              <w:keepNext/>
              <w:jc w:val="right"/>
            </w:pPr>
            <w:r>
              <w:rPr>
                <w:b/>
                <w:color w:val="FFFFFF"/>
                <w:sz w:val="17"/>
              </w:rPr>
              <w:t>Var. % 2025 vs 2024</w:t>
            </w:r>
          </w:p>
        </w:tc>
        <w:tc>
          <w:tcPr>
            <w:tcW w:w="908" w:type="dxa"/>
            <w:shd w:val="clear" w:color="auto" w:fill="1F3864"/>
          </w:tcPr>
          <w:p w14:paraId="4B24FE0B" w14:textId="77777777" w:rsidR="00A37447" w:rsidRDefault="00A37447">
            <w:pPr>
              <w:keepNext/>
              <w:jc w:val="right"/>
            </w:pPr>
            <w:r>
              <w:rPr>
                <w:b/>
                <w:color w:val="FFFFFF"/>
                <w:sz w:val="17"/>
              </w:rPr>
              <w:t>TACC 2021-2025</w:t>
            </w:r>
          </w:p>
        </w:tc>
      </w:tr>
      <w:tr w:rsidR="00855697" w14:paraId="117C7EB8" w14:textId="77777777">
        <w:trPr>
          <w:cantSplit/>
        </w:trPr>
        <w:tc>
          <w:tcPr>
            <w:tcW w:w="2150" w:type="dxa"/>
            <w:noWrap/>
          </w:tcPr>
          <w:p w14:paraId="67527A9F" w14:textId="77777777" w:rsidR="00A37447" w:rsidRDefault="00A37447">
            <w:pPr>
              <w:keepNext/>
              <w:spacing w:after="20"/>
            </w:pPr>
            <w:r>
              <w:rPr>
                <w:sz w:val="17"/>
              </w:rPr>
              <w:t>Cálidda</w:t>
            </w:r>
          </w:p>
        </w:tc>
        <w:tc>
          <w:tcPr>
            <w:tcW w:w="908" w:type="dxa"/>
            <w:noWrap/>
          </w:tcPr>
          <w:p w14:paraId="62370525" w14:textId="77777777" w:rsidR="00A37447" w:rsidRDefault="00A37447">
            <w:pPr>
              <w:keepNext/>
              <w:spacing w:after="20"/>
              <w:jc w:val="right"/>
            </w:pPr>
            <w:r>
              <w:rPr>
                <w:sz w:val="16"/>
              </w:rPr>
              <w:t>14.406</w:t>
            </w:r>
          </w:p>
        </w:tc>
        <w:tc>
          <w:tcPr>
            <w:tcW w:w="908" w:type="dxa"/>
            <w:noWrap/>
          </w:tcPr>
          <w:p w14:paraId="73CD3F0B" w14:textId="77777777" w:rsidR="00A37447" w:rsidRDefault="00A37447">
            <w:pPr>
              <w:keepNext/>
              <w:spacing w:after="20"/>
              <w:jc w:val="right"/>
            </w:pPr>
            <w:r>
              <w:rPr>
                <w:sz w:val="16"/>
              </w:rPr>
              <w:t>15.961</w:t>
            </w:r>
          </w:p>
        </w:tc>
        <w:tc>
          <w:tcPr>
            <w:tcW w:w="908" w:type="dxa"/>
            <w:noWrap/>
          </w:tcPr>
          <w:p w14:paraId="23F88AB3" w14:textId="77777777" w:rsidR="00A37447" w:rsidRDefault="00A37447">
            <w:pPr>
              <w:keepNext/>
              <w:spacing w:after="20"/>
              <w:jc w:val="right"/>
            </w:pPr>
            <w:r>
              <w:rPr>
                <w:sz w:val="16"/>
              </w:rPr>
              <w:t>17.169</w:t>
            </w:r>
          </w:p>
        </w:tc>
        <w:tc>
          <w:tcPr>
            <w:tcW w:w="908" w:type="dxa"/>
            <w:noWrap/>
          </w:tcPr>
          <w:p w14:paraId="10EDB8B1" w14:textId="77777777" w:rsidR="00A37447" w:rsidRDefault="00A37447">
            <w:pPr>
              <w:keepNext/>
              <w:spacing w:after="20"/>
              <w:jc w:val="right"/>
            </w:pPr>
            <w:r>
              <w:rPr>
                <w:sz w:val="16"/>
              </w:rPr>
              <w:t>18.156</w:t>
            </w:r>
          </w:p>
        </w:tc>
        <w:tc>
          <w:tcPr>
            <w:tcW w:w="908" w:type="dxa"/>
            <w:noWrap/>
          </w:tcPr>
          <w:p w14:paraId="0AD3129B" w14:textId="77777777" w:rsidR="00A37447" w:rsidRDefault="00A37447">
            <w:pPr>
              <w:keepNext/>
              <w:spacing w:after="20"/>
              <w:jc w:val="right"/>
            </w:pPr>
            <w:r>
              <w:rPr>
                <w:sz w:val="16"/>
              </w:rPr>
              <w:t>19.037</w:t>
            </w:r>
          </w:p>
        </w:tc>
        <w:tc>
          <w:tcPr>
            <w:tcW w:w="908" w:type="dxa"/>
            <w:noWrap/>
          </w:tcPr>
          <w:p w14:paraId="5E7D6F8A" w14:textId="77777777" w:rsidR="00A37447" w:rsidRDefault="00A37447">
            <w:pPr>
              <w:keepNext/>
              <w:spacing w:after="20"/>
              <w:jc w:val="right"/>
            </w:pPr>
            <w:r>
              <w:rPr>
                <w:sz w:val="16"/>
              </w:rPr>
              <w:t>4,9 %</w:t>
            </w:r>
          </w:p>
        </w:tc>
        <w:tc>
          <w:tcPr>
            <w:tcW w:w="908" w:type="dxa"/>
            <w:noWrap/>
          </w:tcPr>
          <w:p w14:paraId="0D2CF9EC" w14:textId="77777777" w:rsidR="00A37447" w:rsidRDefault="00A37447">
            <w:pPr>
              <w:keepNext/>
              <w:spacing w:after="20"/>
              <w:jc w:val="right"/>
            </w:pPr>
            <w:r>
              <w:rPr>
                <w:sz w:val="16"/>
              </w:rPr>
              <w:t>7,2 %</w:t>
            </w:r>
          </w:p>
        </w:tc>
      </w:tr>
      <w:tr w:rsidR="00855697" w14:paraId="13A6CDA9" w14:textId="77777777">
        <w:trPr>
          <w:cantSplit/>
        </w:trPr>
        <w:tc>
          <w:tcPr>
            <w:tcW w:w="2150" w:type="dxa"/>
            <w:noWrap/>
          </w:tcPr>
          <w:p w14:paraId="70162438" w14:textId="77777777" w:rsidR="00A37447" w:rsidRDefault="00A37447">
            <w:pPr>
              <w:keepNext/>
              <w:spacing w:after="20"/>
            </w:pPr>
            <w:r>
              <w:rPr>
                <w:sz w:val="17"/>
              </w:rPr>
              <w:t>Contugas</w:t>
            </w:r>
          </w:p>
        </w:tc>
        <w:tc>
          <w:tcPr>
            <w:tcW w:w="908" w:type="dxa"/>
            <w:noWrap/>
          </w:tcPr>
          <w:p w14:paraId="1C786E35" w14:textId="77777777" w:rsidR="00A37447" w:rsidRDefault="00A37447">
            <w:pPr>
              <w:keepNext/>
              <w:spacing w:after="20"/>
              <w:jc w:val="right"/>
            </w:pPr>
            <w:r>
              <w:rPr>
                <w:sz w:val="16"/>
              </w:rPr>
              <w:t>1.776</w:t>
            </w:r>
          </w:p>
        </w:tc>
        <w:tc>
          <w:tcPr>
            <w:tcW w:w="908" w:type="dxa"/>
            <w:noWrap/>
          </w:tcPr>
          <w:p w14:paraId="5328B674" w14:textId="77777777" w:rsidR="00A37447" w:rsidRDefault="00A37447">
            <w:pPr>
              <w:keepNext/>
              <w:spacing w:after="20"/>
              <w:jc w:val="right"/>
            </w:pPr>
            <w:r>
              <w:rPr>
                <w:sz w:val="16"/>
              </w:rPr>
              <w:t>1.840</w:t>
            </w:r>
          </w:p>
        </w:tc>
        <w:tc>
          <w:tcPr>
            <w:tcW w:w="908" w:type="dxa"/>
            <w:noWrap/>
          </w:tcPr>
          <w:p w14:paraId="5BEC59C1" w14:textId="77777777" w:rsidR="00A37447" w:rsidRDefault="00A37447">
            <w:pPr>
              <w:keepNext/>
              <w:spacing w:after="20"/>
              <w:jc w:val="right"/>
            </w:pPr>
            <w:r>
              <w:rPr>
                <w:sz w:val="16"/>
              </w:rPr>
              <w:t>2.119</w:t>
            </w:r>
          </w:p>
        </w:tc>
        <w:tc>
          <w:tcPr>
            <w:tcW w:w="908" w:type="dxa"/>
            <w:noWrap/>
          </w:tcPr>
          <w:p w14:paraId="153C243F" w14:textId="77777777" w:rsidR="00A37447" w:rsidRDefault="00A37447">
            <w:pPr>
              <w:keepNext/>
              <w:spacing w:after="20"/>
              <w:jc w:val="right"/>
            </w:pPr>
            <w:r>
              <w:rPr>
                <w:sz w:val="16"/>
              </w:rPr>
              <w:t>2.239</w:t>
            </w:r>
          </w:p>
        </w:tc>
        <w:tc>
          <w:tcPr>
            <w:tcW w:w="908" w:type="dxa"/>
            <w:noWrap/>
          </w:tcPr>
          <w:p w14:paraId="3F474447" w14:textId="77777777" w:rsidR="00A37447" w:rsidRDefault="00A37447">
            <w:pPr>
              <w:keepNext/>
              <w:spacing w:after="20"/>
              <w:jc w:val="right"/>
            </w:pPr>
            <w:r>
              <w:rPr>
                <w:sz w:val="16"/>
              </w:rPr>
              <w:t>2.263</w:t>
            </w:r>
          </w:p>
        </w:tc>
        <w:tc>
          <w:tcPr>
            <w:tcW w:w="908" w:type="dxa"/>
            <w:noWrap/>
          </w:tcPr>
          <w:p w14:paraId="2C1324E5" w14:textId="77777777" w:rsidR="00A37447" w:rsidRDefault="00A37447">
            <w:pPr>
              <w:keepNext/>
              <w:spacing w:after="20"/>
              <w:jc w:val="right"/>
            </w:pPr>
            <w:r>
              <w:rPr>
                <w:sz w:val="16"/>
              </w:rPr>
              <w:t>1,1 %</w:t>
            </w:r>
          </w:p>
        </w:tc>
        <w:tc>
          <w:tcPr>
            <w:tcW w:w="908" w:type="dxa"/>
            <w:noWrap/>
          </w:tcPr>
          <w:p w14:paraId="757B3B82" w14:textId="77777777" w:rsidR="00A37447" w:rsidRDefault="00A37447">
            <w:pPr>
              <w:keepNext/>
              <w:spacing w:after="20"/>
              <w:jc w:val="right"/>
            </w:pPr>
            <w:r>
              <w:rPr>
                <w:sz w:val="16"/>
              </w:rPr>
              <w:t>6,2 %</w:t>
            </w:r>
          </w:p>
        </w:tc>
      </w:tr>
      <w:tr w:rsidR="00855697" w14:paraId="0058B553" w14:textId="77777777">
        <w:trPr>
          <w:cantSplit/>
        </w:trPr>
        <w:tc>
          <w:tcPr>
            <w:tcW w:w="2150" w:type="dxa"/>
            <w:noWrap/>
          </w:tcPr>
          <w:p w14:paraId="012C815F" w14:textId="77777777" w:rsidR="00A37447" w:rsidRDefault="00A37447">
            <w:pPr>
              <w:keepNext/>
              <w:spacing w:after="20"/>
            </w:pPr>
            <w:r>
              <w:rPr>
                <w:sz w:val="17"/>
              </w:rPr>
              <w:t>Petroperú</w:t>
            </w:r>
          </w:p>
        </w:tc>
        <w:tc>
          <w:tcPr>
            <w:tcW w:w="908" w:type="dxa"/>
            <w:noWrap/>
          </w:tcPr>
          <w:p w14:paraId="236BDD19" w14:textId="77777777" w:rsidR="00A37447" w:rsidRDefault="00A37447">
            <w:pPr>
              <w:keepNext/>
              <w:spacing w:after="20"/>
              <w:jc w:val="right"/>
            </w:pPr>
            <w:r>
              <w:rPr>
                <w:sz w:val="16"/>
              </w:rPr>
              <w:t>395</w:t>
            </w:r>
          </w:p>
        </w:tc>
        <w:tc>
          <w:tcPr>
            <w:tcW w:w="908" w:type="dxa"/>
            <w:noWrap/>
          </w:tcPr>
          <w:p w14:paraId="7C0DDBC6" w14:textId="77777777" w:rsidR="00A37447" w:rsidRDefault="00A37447">
            <w:pPr>
              <w:keepNext/>
              <w:spacing w:after="20"/>
              <w:jc w:val="right"/>
            </w:pPr>
            <w:r>
              <w:rPr>
                <w:sz w:val="16"/>
              </w:rPr>
              <w:t>395</w:t>
            </w:r>
          </w:p>
        </w:tc>
        <w:tc>
          <w:tcPr>
            <w:tcW w:w="908" w:type="dxa"/>
            <w:noWrap/>
          </w:tcPr>
          <w:p w14:paraId="3AB54283" w14:textId="77777777" w:rsidR="00A37447" w:rsidRDefault="00A37447">
            <w:pPr>
              <w:keepNext/>
              <w:spacing w:after="20"/>
              <w:jc w:val="right"/>
            </w:pPr>
            <w:r>
              <w:rPr>
                <w:sz w:val="16"/>
              </w:rPr>
              <w:t>395</w:t>
            </w:r>
          </w:p>
        </w:tc>
        <w:tc>
          <w:tcPr>
            <w:tcW w:w="908" w:type="dxa"/>
            <w:noWrap/>
          </w:tcPr>
          <w:p w14:paraId="56C57C52" w14:textId="77777777" w:rsidR="00A37447" w:rsidRDefault="00A37447">
            <w:pPr>
              <w:keepNext/>
              <w:spacing w:after="20"/>
              <w:jc w:val="right"/>
            </w:pPr>
            <w:r>
              <w:rPr>
                <w:sz w:val="16"/>
              </w:rPr>
              <w:t>545</w:t>
            </w:r>
          </w:p>
        </w:tc>
        <w:tc>
          <w:tcPr>
            <w:tcW w:w="908" w:type="dxa"/>
            <w:noWrap/>
          </w:tcPr>
          <w:p w14:paraId="713F42BB" w14:textId="77777777" w:rsidR="00A37447" w:rsidRDefault="00A37447">
            <w:pPr>
              <w:keepNext/>
              <w:spacing w:after="20"/>
              <w:jc w:val="right"/>
            </w:pPr>
            <w:r>
              <w:rPr>
                <w:sz w:val="16"/>
              </w:rPr>
              <w:t>545</w:t>
            </w:r>
          </w:p>
        </w:tc>
        <w:tc>
          <w:tcPr>
            <w:tcW w:w="908" w:type="dxa"/>
            <w:noWrap/>
          </w:tcPr>
          <w:p w14:paraId="22F0042F" w14:textId="77777777" w:rsidR="00A37447" w:rsidRDefault="00A37447">
            <w:pPr>
              <w:keepNext/>
              <w:spacing w:after="20"/>
              <w:jc w:val="right"/>
            </w:pPr>
            <w:r>
              <w:rPr>
                <w:sz w:val="16"/>
              </w:rPr>
              <w:t>0,0 %</w:t>
            </w:r>
          </w:p>
        </w:tc>
        <w:tc>
          <w:tcPr>
            <w:tcW w:w="908" w:type="dxa"/>
            <w:noWrap/>
          </w:tcPr>
          <w:p w14:paraId="6CDD497A" w14:textId="77777777" w:rsidR="00A37447" w:rsidRDefault="00A37447">
            <w:pPr>
              <w:keepNext/>
              <w:spacing w:after="20"/>
              <w:jc w:val="right"/>
            </w:pPr>
            <w:r>
              <w:rPr>
                <w:sz w:val="16"/>
              </w:rPr>
              <w:t>8,4 %</w:t>
            </w:r>
          </w:p>
        </w:tc>
      </w:tr>
      <w:tr w:rsidR="00855697" w14:paraId="2AAE0C01" w14:textId="77777777">
        <w:trPr>
          <w:cantSplit/>
        </w:trPr>
        <w:tc>
          <w:tcPr>
            <w:tcW w:w="2150" w:type="dxa"/>
            <w:noWrap/>
          </w:tcPr>
          <w:p w14:paraId="6630E91F" w14:textId="77777777" w:rsidR="00A37447" w:rsidRPr="00786EA0" w:rsidRDefault="00A37447">
            <w:pPr>
              <w:keepNext/>
              <w:spacing w:after="20"/>
              <w:rPr>
                <w:lang w:val="es-PE"/>
              </w:rPr>
            </w:pPr>
            <w:r w:rsidRPr="00786EA0">
              <w:rPr>
                <w:sz w:val="17"/>
                <w:lang w:val="es-PE"/>
              </w:rPr>
              <w:t>Quavii – Gases del Norte del Perú</w:t>
            </w:r>
          </w:p>
        </w:tc>
        <w:tc>
          <w:tcPr>
            <w:tcW w:w="908" w:type="dxa"/>
            <w:noWrap/>
          </w:tcPr>
          <w:p w14:paraId="7D6C3E66" w14:textId="77777777" w:rsidR="00A37447" w:rsidRDefault="00A37447">
            <w:pPr>
              <w:keepNext/>
              <w:spacing w:after="20"/>
              <w:jc w:val="right"/>
            </w:pPr>
            <w:r>
              <w:rPr>
                <w:sz w:val="16"/>
              </w:rPr>
              <w:t>244</w:t>
            </w:r>
          </w:p>
        </w:tc>
        <w:tc>
          <w:tcPr>
            <w:tcW w:w="908" w:type="dxa"/>
            <w:noWrap/>
          </w:tcPr>
          <w:p w14:paraId="3CA2CC1C" w14:textId="77777777" w:rsidR="00A37447" w:rsidRDefault="00A37447">
            <w:pPr>
              <w:keepNext/>
              <w:spacing w:after="20"/>
              <w:jc w:val="right"/>
            </w:pPr>
            <w:r>
              <w:rPr>
                <w:sz w:val="16"/>
              </w:rPr>
              <w:t>419</w:t>
            </w:r>
          </w:p>
        </w:tc>
        <w:tc>
          <w:tcPr>
            <w:tcW w:w="908" w:type="dxa"/>
            <w:noWrap/>
          </w:tcPr>
          <w:p w14:paraId="4C7D2E28" w14:textId="77777777" w:rsidR="00A37447" w:rsidRDefault="00A37447">
            <w:pPr>
              <w:keepNext/>
              <w:spacing w:after="20"/>
              <w:jc w:val="right"/>
            </w:pPr>
            <w:r>
              <w:rPr>
                <w:sz w:val="16"/>
              </w:rPr>
              <w:t>1.025</w:t>
            </w:r>
          </w:p>
        </w:tc>
        <w:tc>
          <w:tcPr>
            <w:tcW w:w="908" w:type="dxa"/>
            <w:noWrap/>
          </w:tcPr>
          <w:p w14:paraId="79608227" w14:textId="77777777" w:rsidR="00A37447" w:rsidRDefault="00A37447">
            <w:pPr>
              <w:keepNext/>
              <w:spacing w:after="20"/>
              <w:jc w:val="right"/>
            </w:pPr>
            <w:r>
              <w:rPr>
                <w:sz w:val="16"/>
              </w:rPr>
              <w:t>1.408</w:t>
            </w:r>
          </w:p>
        </w:tc>
        <w:tc>
          <w:tcPr>
            <w:tcW w:w="908" w:type="dxa"/>
            <w:noWrap/>
          </w:tcPr>
          <w:p w14:paraId="066E1944" w14:textId="77777777" w:rsidR="00A37447" w:rsidRDefault="00A37447">
            <w:pPr>
              <w:keepNext/>
              <w:spacing w:after="20"/>
              <w:jc w:val="right"/>
            </w:pPr>
            <w:r>
              <w:rPr>
                <w:sz w:val="16"/>
              </w:rPr>
              <w:t>1.766</w:t>
            </w:r>
          </w:p>
        </w:tc>
        <w:tc>
          <w:tcPr>
            <w:tcW w:w="908" w:type="dxa"/>
            <w:noWrap/>
          </w:tcPr>
          <w:p w14:paraId="48CC0C5C" w14:textId="77777777" w:rsidR="00A37447" w:rsidRDefault="00A37447">
            <w:pPr>
              <w:keepNext/>
              <w:spacing w:after="20"/>
              <w:jc w:val="right"/>
            </w:pPr>
            <w:r>
              <w:rPr>
                <w:sz w:val="16"/>
              </w:rPr>
              <w:t>25,4 %</w:t>
            </w:r>
          </w:p>
        </w:tc>
        <w:tc>
          <w:tcPr>
            <w:tcW w:w="908" w:type="dxa"/>
            <w:noWrap/>
          </w:tcPr>
          <w:p w14:paraId="57030A46" w14:textId="77777777" w:rsidR="00A37447" w:rsidRDefault="00A37447">
            <w:pPr>
              <w:keepNext/>
              <w:spacing w:after="20"/>
              <w:jc w:val="right"/>
            </w:pPr>
            <w:r>
              <w:rPr>
                <w:sz w:val="16"/>
              </w:rPr>
              <w:t>64,0 %</w:t>
            </w:r>
          </w:p>
        </w:tc>
      </w:tr>
      <w:tr w:rsidR="00855697" w14:paraId="64C5211C" w14:textId="77777777">
        <w:trPr>
          <w:cantSplit/>
        </w:trPr>
        <w:tc>
          <w:tcPr>
            <w:tcW w:w="2150" w:type="dxa"/>
            <w:noWrap/>
          </w:tcPr>
          <w:p w14:paraId="720F3D67" w14:textId="77777777" w:rsidR="00A37447" w:rsidRDefault="00A37447">
            <w:pPr>
              <w:keepNext/>
              <w:spacing w:after="20"/>
            </w:pPr>
            <w:r>
              <w:rPr>
                <w:sz w:val="17"/>
              </w:rPr>
              <w:t>Quavii – Gases del Pacífico</w:t>
            </w:r>
          </w:p>
        </w:tc>
        <w:tc>
          <w:tcPr>
            <w:tcW w:w="908" w:type="dxa"/>
            <w:noWrap/>
          </w:tcPr>
          <w:p w14:paraId="4DB39DB7" w14:textId="77777777" w:rsidR="00A37447" w:rsidRDefault="00A37447">
            <w:pPr>
              <w:keepNext/>
              <w:spacing w:after="20"/>
              <w:jc w:val="right"/>
            </w:pPr>
            <w:r>
              <w:rPr>
                <w:sz w:val="16"/>
              </w:rPr>
              <w:t>3.521</w:t>
            </w:r>
          </w:p>
        </w:tc>
        <w:tc>
          <w:tcPr>
            <w:tcW w:w="908" w:type="dxa"/>
            <w:noWrap/>
          </w:tcPr>
          <w:p w14:paraId="7EB654B6" w14:textId="77777777" w:rsidR="00A37447" w:rsidRDefault="00A37447">
            <w:pPr>
              <w:keepNext/>
              <w:spacing w:after="20"/>
              <w:jc w:val="right"/>
            </w:pPr>
            <w:r>
              <w:rPr>
                <w:sz w:val="16"/>
              </w:rPr>
              <w:t>3.581</w:t>
            </w:r>
          </w:p>
        </w:tc>
        <w:tc>
          <w:tcPr>
            <w:tcW w:w="908" w:type="dxa"/>
            <w:noWrap/>
          </w:tcPr>
          <w:p w14:paraId="33DCC527" w14:textId="77777777" w:rsidR="00A37447" w:rsidRDefault="00A37447">
            <w:pPr>
              <w:keepNext/>
              <w:spacing w:after="20"/>
              <w:jc w:val="right"/>
            </w:pPr>
            <w:r>
              <w:rPr>
                <w:sz w:val="16"/>
              </w:rPr>
              <w:t>3.830</w:t>
            </w:r>
          </w:p>
        </w:tc>
        <w:tc>
          <w:tcPr>
            <w:tcW w:w="908" w:type="dxa"/>
            <w:noWrap/>
          </w:tcPr>
          <w:p w14:paraId="37842689" w14:textId="77777777" w:rsidR="00A37447" w:rsidRDefault="00A37447">
            <w:pPr>
              <w:keepNext/>
              <w:spacing w:after="20"/>
              <w:jc w:val="right"/>
            </w:pPr>
            <w:r>
              <w:rPr>
                <w:sz w:val="16"/>
              </w:rPr>
              <w:t>4.032</w:t>
            </w:r>
          </w:p>
        </w:tc>
        <w:tc>
          <w:tcPr>
            <w:tcW w:w="908" w:type="dxa"/>
            <w:noWrap/>
          </w:tcPr>
          <w:p w14:paraId="63C7268A" w14:textId="77777777" w:rsidR="00A37447" w:rsidRDefault="00A37447">
            <w:pPr>
              <w:keepNext/>
              <w:spacing w:after="20"/>
              <w:jc w:val="right"/>
            </w:pPr>
            <w:r>
              <w:rPr>
                <w:sz w:val="16"/>
              </w:rPr>
              <w:t>4.112</w:t>
            </w:r>
          </w:p>
        </w:tc>
        <w:tc>
          <w:tcPr>
            <w:tcW w:w="908" w:type="dxa"/>
            <w:noWrap/>
          </w:tcPr>
          <w:p w14:paraId="6A1E74FD" w14:textId="77777777" w:rsidR="00A37447" w:rsidRDefault="00A37447">
            <w:pPr>
              <w:keepNext/>
              <w:spacing w:after="20"/>
              <w:jc w:val="right"/>
            </w:pPr>
            <w:r>
              <w:rPr>
                <w:sz w:val="16"/>
              </w:rPr>
              <w:t>2,0 %</w:t>
            </w:r>
          </w:p>
        </w:tc>
        <w:tc>
          <w:tcPr>
            <w:tcW w:w="908" w:type="dxa"/>
            <w:noWrap/>
          </w:tcPr>
          <w:p w14:paraId="2D7B0D97" w14:textId="77777777" w:rsidR="00A37447" w:rsidRDefault="00A37447">
            <w:pPr>
              <w:keepNext/>
              <w:spacing w:after="20"/>
              <w:jc w:val="right"/>
            </w:pPr>
            <w:r>
              <w:rPr>
                <w:sz w:val="16"/>
              </w:rPr>
              <w:t>4,0 %</w:t>
            </w:r>
          </w:p>
        </w:tc>
      </w:tr>
      <w:tr w:rsidR="00855697" w14:paraId="5766ECD7" w14:textId="77777777">
        <w:trPr>
          <w:cantSplit/>
        </w:trPr>
        <w:tc>
          <w:tcPr>
            <w:tcW w:w="2150" w:type="dxa"/>
            <w:noWrap/>
          </w:tcPr>
          <w:p w14:paraId="79942568" w14:textId="77777777" w:rsidR="00A37447" w:rsidRDefault="00A37447">
            <w:pPr>
              <w:keepNext/>
              <w:spacing w:after="20"/>
            </w:pPr>
            <w:r>
              <w:rPr>
                <w:b/>
                <w:sz w:val="17"/>
              </w:rPr>
              <w:t>TOTAL</w:t>
            </w:r>
          </w:p>
        </w:tc>
        <w:tc>
          <w:tcPr>
            <w:tcW w:w="908" w:type="dxa"/>
            <w:noWrap/>
          </w:tcPr>
          <w:p w14:paraId="436BF8BF" w14:textId="77777777" w:rsidR="00A37447" w:rsidRDefault="00A37447">
            <w:pPr>
              <w:keepNext/>
              <w:spacing w:after="20"/>
              <w:jc w:val="right"/>
            </w:pPr>
            <w:r>
              <w:rPr>
                <w:sz w:val="16"/>
              </w:rPr>
              <w:t>20.342</w:t>
            </w:r>
          </w:p>
        </w:tc>
        <w:tc>
          <w:tcPr>
            <w:tcW w:w="908" w:type="dxa"/>
            <w:noWrap/>
          </w:tcPr>
          <w:p w14:paraId="20329BDE" w14:textId="77777777" w:rsidR="00A37447" w:rsidRDefault="00A37447">
            <w:pPr>
              <w:keepNext/>
              <w:spacing w:after="20"/>
              <w:jc w:val="right"/>
            </w:pPr>
            <w:r>
              <w:rPr>
                <w:sz w:val="16"/>
              </w:rPr>
              <w:t>22.196</w:t>
            </w:r>
          </w:p>
        </w:tc>
        <w:tc>
          <w:tcPr>
            <w:tcW w:w="908" w:type="dxa"/>
            <w:noWrap/>
          </w:tcPr>
          <w:p w14:paraId="50925D61" w14:textId="77777777" w:rsidR="00A37447" w:rsidRDefault="00A37447">
            <w:pPr>
              <w:keepNext/>
              <w:spacing w:after="20"/>
              <w:jc w:val="right"/>
            </w:pPr>
            <w:r>
              <w:rPr>
                <w:sz w:val="16"/>
              </w:rPr>
              <w:t>24.538</w:t>
            </w:r>
          </w:p>
        </w:tc>
        <w:tc>
          <w:tcPr>
            <w:tcW w:w="908" w:type="dxa"/>
            <w:noWrap/>
          </w:tcPr>
          <w:p w14:paraId="1A1521E4" w14:textId="77777777" w:rsidR="00A37447" w:rsidRDefault="00A37447">
            <w:pPr>
              <w:keepNext/>
              <w:spacing w:after="20"/>
              <w:jc w:val="right"/>
            </w:pPr>
            <w:r>
              <w:rPr>
                <w:sz w:val="16"/>
              </w:rPr>
              <w:t>26.380</w:t>
            </w:r>
          </w:p>
        </w:tc>
        <w:tc>
          <w:tcPr>
            <w:tcW w:w="908" w:type="dxa"/>
            <w:noWrap/>
          </w:tcPr>
          <w:p w14:paraId="37C1DE87" w14:textId="77777777" w:rsidR="00A37447" w:rsidRDefault="00A37447">
            <w:pPr>
              <w:keepNext/>
              <w:spacing w:after="20"/>
              <w:jc w:val="right"/>
            </w:pPr>
            <w:r>
              <w:rPr>
                <w:sz w:val="16"/>
              </w:rPr>
              <w:t>27.724</w:t>
            </w:r>
          </w:p>
        </w:tc>
        <w:tc>
          <w:tcPr>
            <w:tcW w:w="908" w:type="dxa"/>
            <w:noWrap/>
          </w:tcPr>
          <w:p w14:paraId="2382AB73" w14:textId="77777777" w:rsidR="00A37447" w:rsidRDefault="00A37447">
            <w:pPr>
              <w:keepNext/>
              <w:spacing w:after="20"/>
              <w:jc w:val="right"/>
            </w:pPr>
            <w:r>
              <w:rPr>
                <w:sz w:val="16"/>
              </w:rPr>
              <w:t>5,1 %</w:t>
            </w:r>
          </w:p>
        </w:tc>
        <w:tc>
          <w:tcPr>
            <w:tcW w:w="908" w:type="dxa"/>
            <w:noWrap/>
          </w:tcPr>
          <w:p w14:paraId="66F81C6A" w14:textId="77777777" w:rsidR="00A37447" w:rsidRDefault="00A37447">
            <w:pPr>
              <w:keepNext/>
              <w:spacing w:after="20"/>
              <w:jc w:val="right"/>
            </w:pPr>
            <w:r>
              <w:rPr>
                <w:sz w:val="16"/>
              </w:rPr>
              <w:t>8,0 %</w:t>
            </w:r>
          </w:p>
        </w:tc>
      </w:tr>
    </w:tbl>
    <w:p w14:paraId="2298E83F" w14:textId="77777777" w:rsidR="00A37447" w:rsidRPr="00B4606A" w:rsidRDefault="00A37447">
      <w:pPr>
        <w:keepLines/>
        <w:spacing w:before="40"/>
        <w:jc w:val="right"/>
        <w:rPr>
          <w:lang w:val="es-PE"/>
        </w:rPr>
      </w:pPr>
      <w:r w:rsidRPr="00B4606A">
        <w:rPr>
          <w:color w:val="404040"/>
          <w:sz w:val="15"/>
          <w:lang w:val="es-PE"/>
        </w:rPr>
        <w:t>NOTA: En 2025, la red de Cálidda incluye 127,5 km de red principal, 569,6 km de redes de acero y 18.339,8 km de polietileno.</w:t>
      </w:r>
    </w:p>
    <w:p w14:paraId="5E0C9CAB" w14:textId="77777777" w:rsidR="00A37447" w:rsidRDefault="00A37447">
      <w:pPr>
        <w:keepLines/>
        <w:spacing w:before="40"/>
        <w:jc w:val="right"/>
      </w:pPr>
      <w:r>
        <w:rPr>
          <w:b/>
          <w:color w:val="404040"/>
          <w:sz w:val="15"/>
        </w:rPr>
        <w:t>FUENTE: Empresas del sector, Osinergmin</w:t>
      </w:r>
    </w:p>
    <w:p w14:paraId="5F128131" w14:textId="77777777" w:rsidR="00A37447" w:rsidRDefault="00A37447">
      <w:pPr>
        <w:spacing w:before="160"/>
        <w:jc w:val="center"/>
      </w:pPr>
      <w:r>
        <w:rPr>
          <w:noProof/>
        </w:rPr>
        <w:drawing>
          <wp:inline distT="0" distB="0" distL="0" distR="0" wp14:anchorId="0D7C25FD" wp14:editId="7D3F4F0F">
            <wp:extent cx="5476009" cy="2834640"/>
            <wp:effectExtent l="0" t="0" r="0" b="3810"/>
            <wp:docPr id="90063" name="Picture 9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1.png"/>
                    <pic:cNvPicPr/>
                  </pic:nvPicPr>
                  <pic:blipFill>
                    <a:blip r:embed="rId54"/>
                    <a:stretch>
                      <a:fillRect/>
                    </a:stretch>
                  </pic:blipFill>
                  <pic:spPr>
                    <a:xfrm>
                      <a:off x="0" y="0"/>
                      <a:ext cx="5485646" cy="2839628"/>
                    </a:xfrm>
                    <a:prstGeom prst="rect">
                      <a:avLst/>
                    </a:prstGeom>
                  </pic:spPr>
                </pic:pic>
              </a:graphicData>
            </a:graphic>
          </wp:inline>
        </w:drawing>
      </w:r>
    </w:p>
    <w:p w14:paraId="63F31981" w14:textId="77777777" w:rsidR="00A37447" w:rsidRDefault="00A37447"/>
    <w:p w14:paraId="00264880" w14:textId="77777777" w:rsidR="00A37447" w:rsidRDefault="00A37447">
      <w:pPr>
        <w:keepLines/>
        <w:rPr>
          <w:lang w:val="es-PE"/>
        </w:rPr>
      </w:pPr>
      <w:r w:rsidRPr="0036111A">
        <w:rPr>
          <w:lang w:val="es-PE"/>
        </w:rPr>
        <w:t>Al cierre de 2025, las conexiones a gas natural en el Perú superaron los 2,58 millones, un incremento del 6 % respecto a los 2,44 millones de 2024. Esto implicó la incorporación de alrededor de 147 mil nuevos usuarios, de los cuales la amplia mayoría correspondió al segmento residencial. La red nacional de distribución alcanzó los 28 mil km, frente a los 26,4 mil km de 2024.</w:t>
      </w:r>
    </w:p>
    <w:p w14:paraId="032EC6EC" w14:textId="77777777" w:rsidR="00D41694" w:rsidRPr="00D41694" w:rsidRDefault="00D41694" w:rsidP="00D41694">
      <w:pPr>
        <w:keepNext/>
        <w:keepLines/>
        <w:spacing w:before="160" w:after="20"/>
        <w:rPr>
          <w:lang w:val="es-PE"/>
        </w:rPr>
      </w:pPr>
      <w:r w:rsidRPr="00D41694">
        <w:rPr>
          <w:b/>
          <w:color w:val="00838F"/>
          <w:sz w:val="20"/>
          <w:lang w:val="es-PE"/>
        </w:rPr>
        <w:t>CANTIDAD DE CLIENTES POR CONCESIÓN</w:t>
      </w:r>
    </w:p>
    <w:p w14:paraId="349202A8" w14:textId="77777777" w:rsidR="00D41694" w:rsidRPr="00D41694" w:rsidRDefault="00D41694" w:rsidP="00D41694">
      <w:pPr>
        <w:keepNext/>
        <w:keepLines/>
        <w:spacing w:after="60"/>
        <w:rPr>
          <w:lang w:val="es-PE"/>
        </w:rPr>
      </w:pPr>
      <w:r w:rsidRPr="00D41694">
        <w:rPr>
          <w:i/>
          <w:sz w:val="17"/>
          <w:lang w:val="es-PE"/>
        </w:rPr>
        <w:t>Número de conexiones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D41694" w14:paraId="640D1F4D" w14:textId="77777777">
        <w:trPr>
          <w:cantSplit/>
          <w:tblHeader/>
        </w:trPr>
        <w:tc>
          <w:tcPr>
            <w:tcW w:w="1064" w:type="dxa"/>
            <w:shd w:val="clear" w:color="auto" w:fill="1F3864"/>
          </w:tcPr>
          <w:p w14:paraId="607CC657" w14:textId="77777777" w:rsidR="00D41694" w:rsidRDefault="00D41694">
            <w:pPr>
              <w:keepNext/>
            </w:pPr>
            <w:r>
              <w:rPr>
                <w:b/>
                <w:color w:val="FFFFFF"/>
                <w:sz w:val="17"/>
              </w:rPr>
              <w:t>Concesión</w:t>
            </w:r>
          </w:p>
        </w:tc>
        <w:tc>
          <w:tcPr>
            <w:tcW w:w="1064" w:type="dxa"/>
            <w:shd w:val="clear" w:color="auto" w:fill="1F3864"/>
            <w:noWrap/>
          </w:tcPr>
          <w:p w14:paraId="2DD1EA3F" w14:textId="77777777" w:rsidR="00D41694" w:rsidRDefault="00D41694">
            <w:pPr>
              <w:keepNext/>
              <w:jc w:val="right"/>
            </w:pPr>
            <w:r>
              <w:rPr>
                <w:b/>
                <w:color w:val="FFFFFF"/>
                <w:sz w:val="17"/>
              </w:rPr>
              <w:t>2021</w:t>
            </w:r>
          </w:p>
        </w:tc>
        <w:tc>
          <w:tcPr>
            <w:tcW w:w="1063" w:type="dxa"/>
            <w:shd w:val="clear" w:color="auto" w:fill="1F3864"/>
            <w:noWrap/>
          </w:tcPr>
          <w:p w14:paraId="69144947" w14:textId="77777777" w:rsidR="00D41694" w:rsidRDefault="00D41694">
            <w:pPr>
              <w:keepNext/>
              <w:jc w:val="right"/>
            </w:pPr>
            <w:r>
              <w:rPr>
                <w:b/>
                <w:color w:val="FFFFFF"/>
                <w:sz w:val="17"/>
              </w:rPr>
              <w:t>2022</w:t>
            </w:r>
          </w:p>
        </w:tc>
        <w:tc>
          <w:tcPr>
            <w:tcW w:w="1063" w:type="dxa"/>
            <w:shd w:val="clear" w:color="auto" w:fill="1F3864"/>
            <w:noWrap/>
          </w:tcPr>
          <w:p w14:paraId="4A4C1331" w14:textId="77777777" w:rsidR="00D41694" w:rsidRDefault="00D41694">
            <w:pPr>
              <w:keepNext/>
              <w:jc w:val="right"/>
            </w:pPr>
            <w:r>
              <w:rPr>
                <w:b/>
                <w:color w:val="FFFFFF"/>
                <w:sz w:val="17"/>
              </w:rPr>
              <w:t>2023</w:t>
            </w:r>
          </w:p>
        </w:tc>
        <w:tc>
          <w:tcPr>
            <w:tcW w:w="1063" w:type="dxa"/>
            <w:shd w:val="clear" w:color="auto" w:fill="1F3864"/>
            <w:noWrap/>
          </w:tcPr>
          <w:p w14:paraId="638915F1" w14:textId="77777777" w:rsidR="00D41694" w:rsidRDefault="00D41694">
            <w:pPr>
              <w:keepNext/>
              <w:jc w:val="right"/>
            </w:pPr>
            <w:r>
              <w:rPr>
                <w:b/>
                <w:color w:val="FFFFFF"/>
                <w:sz w:val="17"/>
              </w:rPr>
              <w:t>2024</w:t>
            </w:r>
          </w:p>
        </w:tc>
        <w:tc>
          <w:tcPr>
            <w:tcW w:w="1063" w:type="dxa"/>
            <w:shd w:val="clear" w:color="auto" w:fill="1F3864"/>
            <w:noWrap/>
          </w:tcPr>
          <w:p w14:paraId="1D1BA1E8" w14:textId="77777777" w:rsidR="00D41694" w:rsidRDefault="00D41694">
            <w:pPr>
              <w:keepNext/>
              <w:jc w:val="right"/>
            </w:pPr>
            <w:r>
              <w:rPr>
                <w:b/>
                <w:color w:val="FFFFFF"/>
                <w:sz w:val="17"/>
              </w:rPr>
              <w:t>2025</w:t>
            </w:r>
          </w:p>
        </w:tc>
        <w:tc>
          <w:tcPr>
            <w:tcW w:w="1063" w:type="dxa"/>
            <w:shd w:val="clear" w:color="auto" w:fill="1F3864"/>
          </w:tcPr>
          <w:p w14:paraId="481F1593" w14:textId="77777777" w:rsidR="00D41694" w:rsidRDefault="00D41694">
            <w:pPr>
              <w:keepNext/>
              <w:jc w:val="right"/>
            </w:pPr>
            <w:r>
              <w:rPr>
                <w:b/>
                <w:color w:val="FFFFFF"/>
                <w:sz w:val="17"/>
              </w:rPr>
              <w:t>Var. % 2025 vs 2024</w:t>
            </w:r>
          </w:p>
        </w:tc>
        <w:tc>
          <w:tcPr>
            <w:tcW w:w="1063" w:type="dxa"/>
            <w:shd w:val="clear" w:color="auto" w:fill="1F3864"/>
          </w:tcPr>
          <w:p w14:paraId="6B8B8F80" w14:textId="77777777" w:rsidR="00D41694" w:rsidRDefault="00D41694">
            <w:pPr>
              <w:keepNext/>
              <w:jc w:val="right"/>
            </w:pPr>
            <w:r>
              <w:rPr>
                <w:b/>
                <w:color w:val="FFFFFF"/>
                <w:sz w:val="17"/>
              </w:rPr>
              <w:t>TACC 2021-2025</w:t>
            </w:r>
          </w:p>
        </w:tc>
      </w:tr>
      <w:tr w:rsidR="00D41694" w14:paraId="07904310" w14:textId="77777777">
        <w:trPr>
          <w:cantSplit/>
        </w:trPr>
        <w:tc>
          <w:tcPr>
            <w:tcW w:w="1064" w:type="dxa"/>
            <w:noWrap/>
          </w:tcPr>
          <w:p w14:paraId="6676CC46" w14:textId="77777777" w:rsidR="00D41694" w:rsidRDefault="00D41694">
            <w:pPr>
              <w:keepNext/>
              <w:spacing w:after="20"/>
            </w:pPr>
            <w:r>
              <w:rPr>
                <w:sz w:val="17"/>
              </w:rPr>
              <w:t>Cálidda</w:t>
            </w:r>
          </w:p>
        </w:tc>
        <w:tc>
          <w:tcPr>
            <w:tcW w:w="1064" w:type="dxa"/>
            <w:noWrap/>
          </w:tcPr>
          <w:p w14:paraId="76878A92" w14:textId="77777777" w:rsidR="00D41694" w:rsidRDefault="00D41694">
            <w:pPr>
              <w:keepNext/>
              <w:spacing w:after="20"/>
              <w:jc w:val="right"/>
            </w:pPr>
            <w:r>
              <w:rPr>
                <w:sz w:val="16"/>
              </w:rPr>
              <w:t>1.300.122</w:t>
            </w:r>
          </w:p>
        </w:tc>
        <w:tc>
          <w:tcPr>
            <w:tcW w:w="1063" w:type="dxa"/>
            <w:noWrap/>
          </w:tcPr>
          <w:p w14:paraId="48DBE785" w14:textId="77777777" w:rsidR="00D41694" w:rsidRDefault="00D41694">
            <w:pPr>
              <w:keepNext/>
              <w:spacing w:after="20"/>
              <w:jc w:val="right"/>
            </w:pPr>
            <w:r>
              <w:rPr>
                <w:sz w:val="16"/>
              </w:rPr>
              <w:t>1.560.379</w:t>
            </w:r>
          </w:p>
        </w:tc>
        <w:tc>
          <w:tcPr>
            <w:tcW w:w="1063" w:type="dxa"/>
            <w:noWrap/>
          </w:tcPr>
          <w:p w14:paraId="374DA31F" w14:textId="77777777" w:rsidR="00D41694" w:rsidRDefault="00D41694">
            <w:pPr>
              <w:keepNext/>
              <w:spacing w:after="20"/>
              <w:jc w:val="right"/>
            </w:pPr>
            <w:r>
              <w:rPr>
                <w:sz w:val="16"/>
              </w:rPr>
              <w:t>1.782.596</w:t>
            </w:r>
          </w:p>
        </w:tc>
        <w:tc>
          <w:tcPr>
            <w:tcW w:w="1063" w:type="dxa"/>
            <w:noWrap/>
          </w:tcPr>
          <w:p w14:paraId="3877B2E1" w14:textId="77777777" w:rsidR="00D41694" w:rsidRDefault="00D41694">
            <w:pPr>
              <w:keepNext/>
              <w:spacing w:after="20"/>
              <w:jc w:val="right"/>
            </w:pPr>
            <w:r>
              <w:rPr>
                <w:sz w:val="16"/>
              </w:rPr>
              <w:t>1.966.247</w:t>
            </w:r>
          </w:p>
        </w:tc>
        <w:tc>
          <w:tcPr>
            <w:tcW w:w="1063" w:type="dxa"/>
            <w:noWrap/>
          </w:tcPr>
          <w:p w14:paraId="63163AAD" w14:textId="77777777" w:rsidR="00D41694" w:rsidRDefault="00D41694">
            <w:pPr>
              <w:keepNext/>
              <w:spacing w:after="20"/>
              <w:jc w:val="right"/>
            </w:pPr>
            <w:r>
              <w:rPr>
                <w:sz w:val="16"/>
              </w:rPr>
              <w:t>2.082.948</w:t>
            </w:r>
          </w:p>
        </w:tc>
        <w:tc>
          <w:tcPr>
            <w:tcW w:w="1063" w:type="dxa"/>
            <w:noWrap/>
          </w:tcPr>
          <w:p w14:paraId="66D5EFFD" w14:textId="77777777" w:rsidR="00D41694" w:rsidRDefault="00D41694">
            <w:pPr>
              <w:keepNext/>
              <w:spacing w:after="20"/>
              <w:jc w:val="right"/>
            </w:pPr>
            <w:r>
              <w:rPr>
                <w:sz w:val="16"/>
              </w:rPr>
              <w:t>5,9 %</w:t>
            </w:r>
          </w:p>
        </w:tc>
        <w:tc>
          <w:tcPr>
            <w:tcW w:w="1063" w:type="dxa"/>
            <w:noWrap/>
          </w:tcPr>
          <w:p w14:paraId="3864A164" w14:textId="77777777" w:rsidR="00D41694" w:rsidRDefault="00D41694">
            <w:pPr>
              <w:keepNext/>
              <w:spacing w:after="20"/>
              <w:jc w:val="right"/>
            </w:pPr>
            <w:r>
              <w:rPr>
                <w:sz w:val="16"/>
              </w:rPr>
              <w:t>12,5 %</w:t>
            </w:r>
          </w:p>
        </w:tc>
      </w:tr>
      <w:tr w:rsidR="00D41694" w14:paraId="56059264" w14:textId="77777777">
        <w:trPr>
          <w:cantSplit/>
        </w:trPr>
        <w:tc>
          <w:tcPr>
            <w:tcW w:w="1064" w:type="dxa"/>
          </w:tcPr>
          <w:p w14:paraId="44696619" w14:textId="77777777" w:rsidR="00D41694" w:rsidRDefault="00D41694">
            <w:pPr>
              <w:keepNext/>
              <w:spacing w:after="20"/>
            </w:pPr>
            <w:r>
              <w:rPr>
                <w:sz w:val="17"/>
              </w:rPr>
              <w:t>Quavii – Gases del Pacífico</w:t>
            </w:r>
          </w:p>
        </w:tc>
        <w:tc>
          <w:tcPr>
            <w:tcW w:w="1064" w:type="dxa"/>
            <w:noWrap/>
          </w:tcPr>
          <w:p w14:paraId="1A7EAA25" w14:textId="77777777" w:rsidR="00D41694" w:rsidRDefault="00D41694">
            <w:pPr>
              <w:keepNext/>
              <w:spacing w:after="20"/>
              <w:jc w:val="right"/>
            </w:pPr>
            <w:r>
              <w:rPr>
                <w:sz w:val="16"/>
              </w:rPr>
              <w:t>184.359</w:t>
            </w:r>
          </w:p>
        </w:tc>
        <w:tc>
          <w:tcPr>
            <w:tcW w:w="1063" w:type="dxa"/>
            <w:noWrap/>
          </w:tcPr>
          <w:p w14:paraId="085217D9" w14:textId="77777777" w:rsidR="00D41694" w:rsidRDefault="00D41694">
            <w:pPr>
              <w:keepNext/>
              <w:spacing w:after="20"/>
              <w:jc w:val="right"/>
            </w:pPr>
            <w:r>
              <w:rPr>
                <w:sz w:val="16"/>
              </w:rPr>
              <w:t>217.466</w:t>
            </w:r>
          </w:p>
        </w:tc>
        <w:tc>
          <w:tcPr>
            <w:tcW w:w="1063" w:type="dxa"/>
            <w:noWrap/>
          </w:tcPr>
          <w:p w14:paraId="5069A178" w14:textId="77777777" w:rsidR="00D41694" w:rsidRDefault="00D41694">
            <w:pPr>
              <w:keepNext/>
              <w:spacing w:after="20"/>
              <w:jc w:val="right"/>
            </w:pPr>
            <w:r>
              <w:rPr>
                <w:sz w:val="16"/>
              </w:rPr>
              <w:t>260.453</w:t>
            </w:r>
          </w:p>
        </w:tc>
        <w:tc>
          <w:tcPr>
            <w:tcW w:w="1063" w:type="dxa"/>
            <w:noWrap/>
          </w:tcPr>
          <w:p w14:paraId="7F6456ED" w14:textId="77777777" w:rsidR="00D41694" w:rsidRDefault="00D41694">
            <w:pPr>
              <w:keepNext/>
              <w:spacing w:after="20"/>
              <w:jc w:val="right"/>
            </w:pPr>
            <w:r>
              <w:rPr>
                <w:sz w:val="16"/>
              </w:rPr>
              <w:t>309.803</w:t>
            </w:r>
          </w:p>
        </w:tc>
        <w:tc>
          <w:tcPr>
            <w:tcW w:w="1063" w:type="dxa"/>
            <w:noWrap/>
          </w:tcPr>
          <w:p w14:paraId="4767B63D" w14:textId="77777777" w:rsidR="00D41694" w:rsidRDefault="00D41694">
            <w:pPr>
              <w:keepNext/>
              <w:spacing w:after="20"/>
              <w:jc w:val="right"/>
            </w:pPr>
            <w:r>
              <w:rPr>
                <w:sz w:val="16"/>
              </w:rPr>
              <w:t>314.715</w:t>
            </w:r>
          </w:p>
        </w:tc>
        <w:tc>
          <w:tcPr>
            <w:tcW w:w="1063" w:type="dxa"/>
            <w:noWrap/>
          </w:tcPr>
          <w:p w14:paraId="70C70A9D" w14:textId="77777777" w:rsidR="00D41694" w:rsidRDefault="00D41694">
            <w:pPr>
              <w:keepNext/>
              <w:spacing w:after="20"/>
              <w:jc w:val="right"/>
            </w:pPr>
            <w:r>
              <w:rPr>
                <w:sz w:val="16"/>
              </w:rPr>
              <w:t>1,6 %</w:t>
            </w:r>
          </w:p>
        </w:tc>
        <w:tc>
          <w:tcPr>
            <w:tcW w:w="1063" w:type="dxa"/>
            <w:noWrap/>
          </w:tcPr>
          <w:p w14:paraId="1EEF1BAE" w14:textId="77777777" w:rsidR="00D41694" w:rsidRDefault="00D41694">
            <w:pPr>
              <w:keepNext/>
              <w:spacing w:after="20"/>
              <w:jc w:val="right"/>
            </w:pPr>
            <w:r>
              <w:rPr>
                <w:sz w:val="16"/>
              </w:rPr>
              <w:t>14,3 %</w:t>
            </w:r>
          </w:p>
        </w:tc>
      </w:tr>
      <w:tr w:rsidR="00D41694" w14:paraId="3F257DEF" w14:textId="77777777">
        <w:trPr>
          <w:cantSplit/>
        </w:trPr>
        <w:tc>
          <w:tcPr>
            <w:tcW w:w="1064" w:type="dxa"/>
            <w:noWrap/>
          </w:tcPr>
          <w:p w14:paraId="2ECDD84D" w14:textId="77777777" w:rsidR="00D41694" w:rsidRDefault="00D41694">
            <w:pPr>
              <w:keepNext/>
              <w:spacing w:after="20"/>
            </w:pPr>
            <w:r>
              <w:rPr>
                <w:sz w:val="17"/>
              </w:rPr>
              <w:t>Contugas</w:t>
            </w:r>
          </w:p>
        </w:tc>
        <w:tc>
          <w:tcPr>
            <w:tcW w:w="1064" w:type="dxa"/>
            <w:noWrap/>
          </w:tcPr>
          <w:p w14:paraId="29EFD0E0" w14:textId="77777777" w:rsidR="00D41694" w:rsidRDefault="00D41694">
            <w:pPr>
              <w:keepNext/>
              <w:spacing w:after="20"/>
              <w:jc w:val="right"/>
            </w:pPr>
            <w:r>
              <w:rPr>
                <w:sz w:val="16"/>
              </w:rPr>
              <w:t>69.118</w:t>
            </w:r>
          </w:p>
        </w:tc>
        <w:tc>
          <w:tcPr>
            <w:tcW w:w="1063" w:type="dxa"/>
            <w:noWrap/>
          </w:tcPr>
          <w:p w14:paraId="702CDF1D" w14:textId="77777777" w:rsidR="00D41694" w:rsidRDefault="00D41694">
            <w:pPr>
              <w:keepNext/>
              <w:spacing w:after="20"/>
              <w:jc w:val="right"/>
            </w:pPr>
            <w:r>
              <w:rPr>
                <w:sz w:val="16"/>
              </w:rPr>
              <w:t>74.427</w:t>
            </w:r>
          </w:p>
        </w:tc>
        <w:tc>
          <w:tcPr>
            <w:tcW w:w="1063" w:type="dxa"/>
            <w:noWrap/>
          </w:tcPr>
          <w:p w14:paraId="04784F27" w14:textId="77777777" w:rsidR="00D41694" w:rsidRDefault="00D41694">
            <w:pPr>
              <w:keepNext/>
              <w:spacing w:after="20"/>
              <w:jc w:val="right"/>
            </w:pPr>
            <w:r>
              <w:rPr>
                <w:sz w:val="16"/>
              </w:rPr>
              <w:t>89.905</w:t>
            </w:r>
          </w:p>
        </w:tc>
        <w:tc>
          <w:tcPr>
            <w:tcW w:w="1063" w:type="dxa"/>
            <w:noWrap/>
          </w:tcPr>
          <w:p w14:paraId="16814923" w14:textId="77777777" w:rsidR="00D41694" w:rsidRDefault="00D41694">
            <w:pPr>
              <w:keepNext/>
              <w:spacing w:after="20"/>
              <w:jc w:val="right"/>
            </w:pPr>
            <w:r>
              <w:rPr>
                <w:sz w:val="16"/>
              </w:rPr>
              <w:t>103.927</w:t>
            </w:r>
          </w:p>
        </w:tc>
        <w:tc>
          <w:tcPr>
            <w:tcW w:w="1063" w:type="dxa"/>
            <w:noWrap/>
          </w:tcPr>
          <w:p w14:paraId="78DF7F81" w14:textId="77777777" w:rsidR="00D41694" w:rsidRDefault="00D41694">
            <w:pPr>
              <w:keepNext/>
              <w:spacing w:after="20"/>
              <w:jc w:val="right"/>
            </w:pPr>
            <w:r>
              <w:rPr>
                <w:sz w:val="16"/>
              </w:rPr>
              <w:t>105.560</w:t>
            </w:r>
          </w:p>
        </w:tc>
        <w:tc>
          <w:tcPr>
            <w:tcW w:w="1063" w:type="dxa"/>
            <w:noWrap/>
          </w:tcPr>
          <w:p w14:paraId="312B761E" w14:textId="77777777" w:rsidR="00D41694" w:rsidRDefault="00D41694">
            <w:pPr>
              <w:keepNext/>
              <w:spacing w:after="20"/>
              <w:jc w:val="right"/>
            </w:pPr>
            <w:r>
              <w:rPr>
                <w:sz w:val="16"/>
              </w:rPr>
              <w:t>1,6 %</w:t>
            </w:r>
          </w:p>
        </w:tc>
        <w:tc>
          <w:tcPr>
            <w:tcW w:w="1063" w:type="dxa"/>
            <w:noWrap/>
          </w:tcPr>
          <w:p w14:paraId="6B5F3948" w14:textId="77777777" w:rsidR="00D41694" w:rsidRDefault="00D41694">
            <w:pPr>
              <w:keepNext/>
              <w:spacing w:after="20"/>
              <w:jc w:val="right"/>
            </w:pPr>
            <w:r>
              <w:rPr>
                <w:sz w:val="16"/>
              </w:rPr>
              <w:t>11,2 %</w:t>
            </w:r>
          </w:p>
        </w:tc>
      </w:tr>
      <w:tr w:rsidR="00D41694" w14:paraId="1AFC47D8" w14:textId="77777777">
        <w:trPr>
          <w:cantSplit/>
        </w:trPr>
        <w:tc>
          <w:tcPr>
            <w:tcW w:w="1064" w:type="dxa"/>
          </w:tcPr>
          <w:p w14:paraId="1C5D208E" w14:textId="77777777" w:rsidR="00D41694" w:rsidRPr="00786EA0" w:rsidRDefault="00D41694">
            <w:pPr>
              <w:keepNext/>
              <w:spacing w:after="20"/>
              <w:rPr>
                <w:lang w:val="es-PE"/>
              </w:rPr>
            </w:pPr>
            <w:r w:rsidRPr="00786EA0">
              <w:rPr>
                <w:sz w:val="17"/>
                <w:lang w:val="es-PE"/>
              </w:rPr>
              <w:t>Quavii – Gases del Norte del Perú</w:t>
            </w:r>
          </w:p>
        </w:tc>
        <w:tc>
          <w:tcPr>
            <w:tcW w:w="1064" w:type="dxa"/>
            <w:noWrap/>
          </w:tcPr>
          <w:p w14:paraId="3BB69C30" w14:textId="77777777" w:rsidR="00D41694" w:rsidRDefault="00D41694">
            <w:pPr>
              <w:keepNext/>
              <w:spacing w:after="20"/>
              <w:jc w:val="right"/>
            </w:pPr>
            <w:r>
              <w:rPr>
                <w:sz w:val="16"/>
              </w:rPr>
              <w:t>3.685</w:t>
            </w:r>
          </w:p>
        </w:tc>
        <w:tc>
          <w:tcPr>
            <w:tcW w:w="1063" w:type="dxa"/>
            <w:noWrap/>
          </w:tcPr>
          <w:p w14:paraId="6792A48B" w14:textId="77777777" w:rsidR="00D41694" w:rsidRDefault="00D41694">
            <w:pPr>
              <w:keepNext/>
              <w:spacing w:after="20"/>
              <w:jc w:val="right"/>
            </w:pPr>
            <w:r>
              <w:rPr>
                <w:sz w:val="16"/>
              </w:rPr>
              <w:t>10.714</w:t>
            </w:r>
          </w:p>
        </w:tc>
        <w:tc>
          <w:tcPr>
            <w:tcW w:w="1063" w:type="dxa"/>
            <w:noWrap/>
          </w:tcPr>
          <w:p w14:paraId="7FBF50CB" w14:textId="77777777" w:rsidR="00D41694" w:rsidRDefault="00D41694">
            <w:pPr>
              <w:keepNext/>
              <w:spacing w:after="20"/>
              <w:jc w:val="right"/>
            </w:pPr>
            <w:r>
              <w:rPr>
                <w:sz w:val="16"/>
              </w:rPr>
              <w:t>18.531</w:t>
            </w:r>
          </w:p>
        </w:tc>
        <w:tc>
          <w:tcPr>
            <w:tcW w:w="1063" w:type="dxa"/>
            <w:noWrap/>
          </w:tcPr>
          <w:p w14:paraId="698B75F4" w14:textId="77777777" w:rsidR="00D41694" w:rsidRDefault="00D41694">
            <w:pPr>
              <w:keepNext/>
              <w:spacing w:after="20"/>
              <w:jc w:val="right"/>
            </w:pPr>
            <w:r>
              <w:rPr>
                <w:sz w:val="16"/>
              </w:rPr>
              <w:t>49.512</w:t>
            </w:r>
          </w:p>
        </w:tc>
        <w:tc>
          <w:tcPr>
            <w:tcW w:w="1063" w:type="dxa"/>
            <w:noWrap/>
          </w:tcPr>
          <w:p w14:paraId="2638F55F" w14:textId="77777777" w:rsidR="00D41694" w:rsidRDefault="00D41694">
            <w:pPr>
              <w:keepNext/>
              <w:spacing w:after="20"/>
              <w:jc w:val="right"/>
            </w:pPr>
            <w:r>
              <w:rPr>
                <w:sz w:val="16"/>
              </w:rPr>
              <w:t>71.555</w:t>
            </w:r>
          </w:p>
        </w:tc>
        <w:tc>
          <w:tcPr>
            <w:tcW w:w="1063" w:type="dxa"/>
            <w:noWrap/>
          </w:tcPr>
          <w:p w14:paraId="722A0E48" w14:textId="77777777" w:rsidR="00D41694" w:rsidRDefault="00D41694">
            <w:pPr>
              <w:keepNext/>
              <w:spacing w:after="20"/>
              <w:jc w:val="right"/>
            </w:pPr>
            <w:r>
              <w:rPr>
                <w:sz w:val="16"/>
              </w:rPr>
              <w:t>44,5 %</w:t>
            </w:r>
          </w:p>
        </w:tc>
        <w:tc>
          <w:tcPr>
            <w:tcW w:w="1063" w:type="dxa"/>
            <w:noWrap/>
          </w:tcPr>
          <w:p w14:paraId="5272D904" w14:textId="77777777" w:rsidR="00D41694" w:rsidRDefault="00D41694">
            <w:pPr>
              <w:keepNext/>
              <w:spacing w:after="20"/>
              <w:jc w:val="right"/>
            </w:pPr>
            <w:r>
              <w:rPr>
                <w:sz w:val="16"/>
              </w:rPr>
              <w:t>109,9 %</w:t>
            </w:r>
          </w:p>
        </w:tc>
      </w:tr>
      <w:tr w:rsidR="00D41694" w14:paraId="5C2D35D0" w14:textId="77777777">
        <w:trPr>
          <w:cantSplit/>
        </w:trPr>
        <w:tc>
          <w:tcPr>
            <w:tcW w:w="1064" w:type="dxa"/>
            <w:noWrap/>
          </w:tcPr>
          <w:p w14:paraId="5B5CF7B1" w14:textId="77777777" w:rsidR="00D41694" w:rsidRDefault="00D41694">
            <w:pPr>
              <w:keepNext/>
              <w:spacing w:after="20"/>
            </w:pPr>
            <w:r>
              <w:rPr>
                <w:sz w:val="17"/>
              </w:rPr>
              <w:t>Petroperú</w:t>
            </w:r>
          </w:p>
        </w:tc>
        <w:tc>
          <w:tcPr>
            <w:tcW w:w="1064" w:type="dxa"/>
            <w:noWrap/>
          </w:tcPr>
          <w:p w14:paraId="1897336B" w14:textId="77777777" w:rsidR="00D41694" w:rsidRDefault="00D41694">
            <w:pPr>
              <w:keepNext/>
              <w:spacing w:after="20"/>
              <w:jc w:val="right"/>
            </w:pPr>
            <w:r>
              <w:rPr>
                <w:sz w:val="16"/>
              </w:rPr>
              <w:t>11.788</w:t>
            </w:r>
          </w:p>
        </w:tc>
        <w:tc>
          <w:tcPr>
            <w:tcW w:w="1063" w:type="dxa"/>
            <w:noWrap/>
          </w:tcPr>
          <w:p w14:paraId="7B9C5BD8" w14:textId="77777777" w:rsidR="00D41694" w:rsidRDefault="00D41694">
            <w:pPr>
              <w:keepNext/>
              <w:spacing w:after="20"/>
              <w:jc w:val="right"/>
            </w:pPr>
            <w:r>
              <w:rPr>
                <w:sz w:val="16"/>
              </w:rPr>
              <w:t>11.606</w:t>
            </w:r>
          </w:p>
        </w:tc>
        <w:tc>
          <w:tcPr>
            <w:tcW w:w="1063" w:type="dxa"/>
            <w:noWrap/>
          </w:tcPr>
          <w:p w14:paraId="387C74B7" w14:textId="77777777" w:rsidR="00D41694" w:rsidRDefault="00D41694">
            <w:pPr>
              <w:keepNext/>
              <w:spacing w:after="20"/>
              <w:jc w:val="right"/>
            </w:pPr>
            <w:r>
              <w:rPr>
                <w:sz w:val="16"/>
              </w:rPr>
              <w:t>11.299</w:t>
            </w:r>
          </w:p>
        </w:tc>
        <w:tc>
          <w:tcPr>
            <w:tcW w:w="1063" w:type="dxa"/>
            <w:noWrap/>
          </w:tcPr>
          <w:p w14:paraId="19966514" w14:textId="77777777" w:rsidR="00D41694" w:rsidRDefault="00D41694">
            <w:pPr>
              <w:keepNext/>
              <w:spacing w:after="20"/>
              <w:jc w:val="right"/>
            </w:pPr>
            <w:r>
              <w:rPr>
                <w:sz w:val="16"/>
              </w:rPr>
              <w:t>12.086</w:t>
            </w:r>
          </w:p>
        </w:tc>
        <w:tc>
          <w:tcPr>
            <w:tcW w:w="1063" w:type="dxa"/>
            <w:noWrap/>
          </w:tcPr>
          <w:p w14:paraId="39B06684" w14:textId="77777777" w:rsidR="00D41694" w:rsidRDefault="00D41694">
            <w:pPr>
              <w:keepNext/>
              <w:spacing w:after="20"/>
              <w:jc w:val="right"/>
            </w:pPr>
            <w:r>
              <w:rPr>
                <w:sz w:val="16"/>
              </w:rPr>
              <w:t>13.843</w:t>
            </w:r>
          </w:p>
        </w:tc>
        <w:tc>
          <w:tcPr>
            <w:tcW w:w="1063" w:type="dxa"/>
            <w:noWrap/>
          </w:tcPr>
          <w:p w14:paraId="3F599CE9" w14:textId="77777777" w:rsidR="00D41694" w:rsidRDefault="00D41694">
            <w:pPr>
              <w:keepNext/>
              <w:spacing w:after="20"/>
              <w:jc w:val="right"/>
            </w:pPr>
            <w:r>
              <w:rPr>
                <w:sz w:val="16"/>
              </w:rPr>
              <w:t>14,5 %</w:t>
            </w:r>
          </w:p>
        </w:tc>
        <w:tc>
          <w:tcPr>
            <w:tcW w:w="1063" w:type="dxa"/>
            <w:noWrap/>
          </w:tcPr>
          <w:p w14:paraId="6BE57101" w14:textId="77777777" w:rsidR="00D41694" w:rsidRDefault="00D41694">
            <w:pPr>
              <w:keepNext/>
              <w:spacing w:after="20"/>
              <w:jc w:val="right"/>
            </w:pPr>
            <w:r>
              <w:rPr>
                <w:sz w:val="16"/>
              </w:rPr>
              <w:t>4,1 %</w:t>
            </w:r>
          </w:p>
        </w:tc>
      </w:tr>
      <w:tr w:rsidR="00D41694" w14:paraId="7FEB5667" w14:textId="77777777">
        <w:trPr>
          <w:cantSplit/>
        </w:trPr>
        <w:tc>
          <w:tcPr>
            <w:tcW w:w="1064" w:type="dxa"/>
            <w:noWrap/>
          </w:tcPr>
          <w:p w14:paraId="4D764F8B" w14:textId="77777777" w:rsidR="00D41694" w:rsidRDefault="00D41694">
            <w:pPr>
              <w:keepNext/>
              <w:spacing w:after="20"/>
            </w:pPr>
            <w:r>
              <w:rPr>
                <w:b/>
                <w:sz w:val="17"/>
              </w:rPr>
              <w:t>Total</w:t>
            </w:r>
          </w:p>
        </w:tc>
        <w:tc>
          <w:tcPr>
            <w:tcW w:w="1064" w:type="dxa"/>
            <w:noWrap/>
          </w:tcPr>
          <w:p w14:paraId="4ED65F50" w14:textId="77777777" w:rsidR="00D41694" w:rsidRDefault="00D41694">
            <w:pPr>
              <w:keepNext/>
              <w:spacing w:after="20"/>
              <w:jc w:val="right"/>
            </w:pPr>
            <w:r>
              <w:rPr>
                <w:sz w:val="16"/>
              </w:rPr>
              <w:t>1.569.072</w:t>
            </w:r>
          </w:p>
        </w:tc>
        <w:tc>
          <w:tcPr>
            <w:tcW w:w="1063" w:type="dxa"/>
            <w:noWrap/>
          </w:tcPr>
          <w:p w14:paraId="11135569" w14:textId="77777777" w:rsidR="00D41694" w:rsidRDefault="00D41694">
            <w:pPr>
              <w:keepNext/>
              <w:spacing w:after="20"/>
              <w:jc w:val="right"/>
            </w:pPr>
            <w:r>
              <w:rPr>
                <w:sz w:val="16"/>
              </w:rPr>
              <w:t>1.874.592</w:t>
            </w:r>
          </w:p>
        </w:tc>
        <w:tc>
          <w:tcPr>
            <w:tcW w:w="1063" w:type="dxa"/>
            <w:noWrap/>
          </w:tcPr>
          <w:p w14:paraId="2DC04C5A" w14:textId="77777777" w:rsidR="00D41694" w:rsidRDefault="00D41694">
            <w:pPr>
              <w:keepNext/>
              <w:spacing w:after="20"/>
              <w:jc w:val="right"/>
            </w:pPr>
            <w:r>
              <w:rPr>
                <w:sz w:val="16"/>
              </w:rPr>
              <w:t>2.162.784</w:t>
            </w:r>
          </w:p>
        </w:tc>
        <w:tc>
          <w:tcPr>
            <w:tcW w:w="1063" w:type="dxa"/>
            <w:noWrap/>
          </w:tcPr>
          <w:p w14:paraId="453DDCCE" w14:textId="77777777" w:rsidR="00D41694" w:rsidRDefault="00D41694">
            <w:pPr>
              <w:keepNext/>
              <w:spacing w:after="20"/>
              <w:jc w:val="right"/>
            </w:pPr>
            <w:r>
              <w:rPr>
                <w:sz w:val="16"/>
              </w:rPr>
              <w:t>2.441.575</w:t>
            </w:r>
          </w:p>
        </w:tc>
        <w:tc>
          <w:tcPr>
            <w:tcW w:w="1063" w:type="dxa"/>
            <w:noWrap/>
          </w:tcPr>
          <w:p w14:paraId="714CA8F1" w14:textId="77777777" w:rsidR="00D41694" w:rsidRDefault="00D41694">
            <w:pPr>
              <w:keepNext/>
              <w:spacing w:after="20"/>
              <w:jc w:val="right"/>
            </w:pPr>
            <w:r>
              <w:rPr>
                <w:sz w:val="16"/>
              </w:rPr>
              <w:t>2.588.621</w:t>
            </w:r>
          </w:p>
        </w:tc>
        <w:tc>
          <w:tcPr>
            <w:tcW w:w="1063" w:type="dxa"/>
            <w:noWrap/>
          </w:tcPr>
          <w:p w14:paraId="24FA2B26" w14:textId="77777777" w:rsidR="00D41694" w:rsidRDefault="00D41694">
            <w:pPr>
              <w:keepNext/>
              <w:spacing w:after="20"/>
              <w:jc w:val="right"/>
            </w:pPr>
            <w:r>
              <w:rPr>
                <w:sz w:val="16"/>
              </w:rPr>
              <w:t>6,0 %</w:t>
            </w:r>
          </w:p>
        </w:tc>
        <w:tc>
          <w:tcPr>
            <w:tcW w:w="1063" w:type="dxa"/>
            <w:noWrap/>
          </w:tcPr>
          <w:p w14:paraId="2C56258D" w14:textId="77777777" w:rsidR="00D41694" w:rsidRDefault="00D41694">
            <w:pPr>
              <w:keepNext/>
              <w:spacing w:after="20"/>
              <w:jc w:val="right"/>
            </w:pPr>
            <w:r>
              <w:rPr>
                <w:sz w:val="16"/>
              </w:rPr>
              <w:t>13,3 %</w:t>
            </w:r>
          </w:p>
        </w:tc>
      </w:tr>
    </w:tbl>
    <w:p w14:paraId="73F117E6" w14:textId="252836AC" w:rsidR="00D41694" w:rsidRPr="00D41694" w:rsidRDefault="00D41694" w:rsidP="00D41694">
      <w:pPr>
        <w:keepLines/>
        <w:spacing w:before="40"/>
        <w:jc w:val="right"/>
      </w:pPr>
      <w:r>
        <w:rPr>
          <w:b/>
          <w:color w:val="404040"/>
          <w:sz w:val="15"/>
        </w:rPr>
        <w:t>FUENTE: Cálidda, Contugas, Promigas, Minem</w:t>
      </w:r>
    </w:p>
    <w:p w14:paraId="4C41497B" w14:textId="038E34B7" w:rsidR="00A37447" w:rsidRPr="0036111A" w:rsidRDefault="00A37447">
      <w:pPr>
        <w:keepLines/>
        <w:rPr>
          <w:lang w:val="es-PE"/>
        </w:rPr>
      </w:pPr>
      <w:r w:rsidRPr="0036111A">
        <w:rPr>
          <w:lang w:val="es-PE"/>
        </w:rPr>
        <w:t>En 2025, todas las concesiones registraron crecimiento en sus bases de clientes. La mayor tasa de crecimiento se alcanzó en la Concesión Piura, operada por Gases del Norte del Perú (Quavii), cuya base de usuarios se expandió 45 % respecto a 2024. Por volumen absoluto, Cálidda continuó liderando: Lima y Callao concentró cerca del 80 % de las nuevas conexiones del año, por encima del 66 % de 2024, debido a la marcada desaceleración de las concesiones Norte e Ica.</w:t>
      </w:r>
    </w:p>
    <w:p w14:paraId="1B753A5F" w14:textId="77777777" w:rsidR="00C75A27" w:rsidRDefault="00D4093E">
      <w:pPr>
        <w:spacing w:before="160"/>
        <w:jc w:val="center"/>
      </w:pPr>
      <w:r>
        <w:rPr>
          <w:noProof/>
        </w:rPr>
        <w:drawing>
          <wp:inline distT="0" distB="0" distL="0" distR="0" wp14:anchorId="5906D897" wp14:editId="76B01169">
            <wp:extent cx="4320000" cy="2703907"/>
            <wp:effectExtent l="0" t="0" r="0" b="0"/>
            <wp:docPr id="90064" name="Picture 9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2.png"/>
                    <pic:cNvPicPr/>
                  </pic:nvPicPr>
                  <pic:blipFill>
                    <a:blip r:embed="rId55"/>
                    <a:stretch>
                      <a:fillRect/>
                    </a:stretch>
                  </pic:blipFill>
                  <pic:spPr>
                    <a:xfrm>
                      <a:off x="0" y="0"/>
                      <a:ext cx="4320000" cy="2703907"/>
                    </a:xfrm>
                    <a:prstGeom prst="rect">
                      <a:avLst/>
                    </a:prstGeom>
                  </pic:spPr>
                </pic:pic>
              </a:graphicData>
            </a:graphic>
          </wp:inline>
        </w:drawing>
      </w:r>
    </w:p>
    <w:p w14:paraId="7B4CFE03" w14:textId="77777777" w:rsidR="00C75A27" w:rsidRDefault="00D4093E">
      <w:pPr>
        <w:spacing w:before="160"/>
        <w:jc w:val="center"/>
      </w:pPr>
      <w:r>
        <w:rPr>
          <w:noProof/>
        </w:rPr>
        <w:lastRenderedPageBreak/>
        <w:drawing>
          <wp:inline distT="0" distB="0" distL="0" distR="0" wp14:anchorId="5B98F350" wp14:editId="15BB1BCE">
            <wp:extent cx="4320000" cy="2730065"/>
            <wp:effectExtent l="0" t="0" r="0" b="0"/>
            <wp:docPr id="90065" name="Picture 9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3.png"/>
                    <pic:cNvPicPr/>
                  </pic:nvPicPr>
                  <pic:blipFill>
                    <a:blip r:embed="rId56"/>
                    <a:stretch>
                      <a:fillRect/>
                    </a:stretch>
                  </pic:blipFill>
                  <pic:spPr>
                    <a:xfrm>
                      <a:off x="0" y="0"/>
                      <a:ext cx="4320000" cy="2730065"/>
                    </a:xfrm>
                    <a:prstGeom prst="rect">
                      <a:avLst/>
                    </a:prstGeom>
                  </pic:spPr>
                </pic:pic>
              </a:graphicData>
            </a:graphic>
          </wp:inline>
        </w:drawing>
      </w:r>
    </w:p>
    <w:p w14:paraId="7FACBF6F" w14:textId="7F263EFF" w:rsidR="00A37447" w:rsidRDefault="00A37447">
      <w:pPr>
        <w:keepNext/>
        <w:spacing w:before="160"/>
        <w:jc w:val="center"/>
      </w:pPr>
    </w:p>
    <w:p w14:paraId="218215CB" w14:textId="77777777" w:rsidR="00A37447" w:rsidRPr="0036111A" w:rsidRDefault="00A37447">
      <w:pPr>
        <w:keepNext/>
        <w:keepLines/>
        <w:pageBreakBefore/>
        <w:outlineLvl w:val="4"/>
        <w:rPr>
          <w:rFonts w:cs="Arial"/>
          <w:b/>
          <w:bCs/>
          <w:lang w:val="es-PE"/>
        </w:rPr>
      </w:pPr>
      <w:bookmarkStart w:id="16" w:name="_Toc235083028"/>
      <w:r w:rsidRPr="0036111A">
        <w:rPr>
          <w:rFonts w:cs="Arial"/>
          <w:b/>
          <w:bCs/>
          <w:lang w:val="es-PE"/>
        </w:rPr>
        <w:lastRenderedPageBreak/>
        <w:t>Cálidda (Concesión Lima y Callao)</w:t>
      </w:r>
      <w:bookmarkEnd w:id="16"/>
    </w:p>
    <w:tbl>
      <w:tblPr>
        <w:tblW w:w="0" w:type="auto"/>
        <w:tblBorders>
          <w:top w:val="single" w:sz="8" w:space="0" w:color="1F3864"/>
          <w:left w:val="single" w:sz="8" w:space="0" w:color="1F3864"/>
          <w:bottom w:val="single" w:sz="8" w:space="0" w:color="1F3864"/>
          <w:right w:val="single" w:sz="8" w:space="0" w:color="1F3864"/>
          <w:insideV w:val="single" w:sz="4" w:space="0" w:color="D9D9D9"/>
        </w:tblBorders>
        <w:tblLayout w:type="fixed"/>
        <w:tblCellMar>
          <w:top w:w="80" w:type="dxa"/>
          <w:left w:w="80" w:type="dxa"/>
          <w:bottom w:w="80" w:type="dxa"/>
          <w:right w:w="80" w:type="dxa"/>
        </w:tblCellMar>
        <w:tblLook w:val="04A0" w:firstRow="1" w:lastRow="0" w:firstColumn="1" w:lastColumn="0" w:noHBand="0" w:noVBand="1"/>
      </w:tblPr>
      <w:tblGrid>
        <w:gridCol w:w="2100"/>
        <w:gridCol w:w="1420"/>
        <w:gridCol w:w="1420"/>
        <w:gridCol w:w="1420"/>
        <w:gridCol w:w="1420"/>
        <w:gridCol w:w="1420"/>
      </w:tblGrid>
      <w:tr w:rsidR="00855697" w14:paraId="538061DB" w14:textId="77777777">
        <w:trPr>
          <w:cantSplit/>
          <w:tblHeader/>
        </w:trPr>
        <w:tc>
          <w:tcPr>
            <w:tcW w:w="2100" w:type="dxa"/>
            <w:shd w:val="clear" w:color="auto" w:fill="F2F5FA"/>
            <w:vAlign w:val="center"/>
          </w:tcPr>
          <w:p w14:paraId="168AC8D7" w14:textId="77777777" w:rsidR="00A37447" w:rsidRDefault="00A37447">
            <w:pPr>
              <w:keepNext/>
              <w:jc w:val="center"/>
            </w:pPr>
            <w:r>
              <w:rPr>
                <w:noProof/>
              </w:rPr>
              <w:drawing>
                <wp:inline distT="0" distB="0" distL="0" distR="0" wp14:anchorId="25E3CADA" wp14:editId="2EE9D3B4">
                  <wp:extent cx="1206349" cy="635918"/>
                  <wp:effectExtent l="0" t="0" r="0" b="0"/>
                  <wp:docPr id="43" name="Picture 2119286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alidda.png"/>
                          <pic:cNvPicPr/>
                        </pic:nvPicPr>
                        <pic:blipFill>
                          <a:blip r:embed="rId57"/>
                          <a:stretch>
                            <a:fillRect/>
                          </a:stretch>
                        </pic:blipFill>
                        <pic:spPr>
                          <a:xfrm>
                            <a:off x="0" y="0"/>
                            <a:ext cx="1206349" cy="635918"/>
                          </a:xfrm>
                          <a:prstGeom prst="rect">
                            <a:avLst/>
                          </a:prstGeom>
                        </pic:spPr>
                      </pic:pic>
                    </a:graphicData>
                  </a:graphic>
                </wp:inline>
              </w:drawing>
            </w:r>
          </w:p>
        </w:tc>
        <w:tc>
          <w:tcPr>
            <w:tcW w:w="1420" w:type="dxa"/>
            <w:noWrap/>
            <w:vAlign w:val="center"/>
          </w:tcPr>
          <w:p w14:paraId="6547AD81" w14:textId="77777777" w:rsidR="00A37447" w:rsidRDefault="00A37447">
            <w:pPr>
              <w:keepNext/>
              <w:jc w:val="center"/>
            </w:pPr>
            <w:r>
              <w:rPr>
                <w:b/>
                <w:color w:val="00838F"/>
              </w:rPr>
              <w:t>2.082.948</w:t>
            </w:r>
          </w:p>
          <w:p w14:paraId="09D8200F" w14:textId="77777777" w:rsidR="00A37447" w:rsidRDefault="00A37447">
            <w:pPr>
              <w:keepNext/>
              <w:jc w:val="center"/>
            </w:pPr>
            <w:r>
              <w:rPr>
                <w:color w:val="595959"/>
                <w:sz w:val="14"/>
              </w:rPr>
              <w:t>CLIENTES TOTALES</w:t>
            </w:r>
          </w:p>
        </w:tc>
        <w:tc>
          <w:tcPr>
            <w:tcW w:w="1420" w:type="dxa"/>
            <w:noWrap/>
            <w:vAlign w:val="center"/>
          </w:tcPr>
          <w:p w14:paraId="43528C08" w14:textId="77777777" w:rsidR="00A37447" w:rsidRDefault="00A37447">
            <w:pPr>
              <w:keepNext/>
              <w:jc w:val="center"/>
            </w:pPr>
            <w:r>
              <w:rPr>
                <w:b/>
                <w:color w:val="00838F"/>
              </w:rPr>
              <w:t>2.081.630</w:t>
            </w:r>
          </w:p>
          <w:p w14:paraId="50D2EBAB" w14:textId="77777777" w:rsidR="00A37447" w:rsidRDefault="00A37447">
            <w:pPr>
              <w:keepNext/>
              <w:jc w:val="center"/>
            </w:pPr>
            <w:r>
              <w:rPr>
                <w:color w:val="595959"/>
                <w:sz w:val="14"/>
              </w:rPr>
              <w:t>RESIDENCIAL Y COMERCIAL</w:t>
            </w:r>
          </w:p>
        </w:tc>
        <w:tc>
          <w:tcPr>
            <w:tcW w:w="1420" w:type="dxa"/>
            <w:noWrap/>
            <w:vAlign w:val="center"/>
          </w:tcPr>
          <w:p w14:paraId="46A7D404" w14:textId="77777777" w:rsidR="00A37447" w:rsidRDefault="00A37447">
            <w:pPr>
              <w:keepNext/>
              <w:jc w:val="center"/>
            </w:pPr>
            <w:r>
              <w:rPr>
                <w:b/>
                <w:color w:val="00838F"/>
                <w:sz w:val="25"/>
              </w:rPr>
              <w:t>80 %</w:t>
            </w:r>
          </w:p>
          <w:p w14:paraId="2F7D6F93" w14:textId="77777777" w:rsidR="00A37447" w:rsidRDefault="00A37447">
            <w:pPr>
              <w:keepNext/>
              <w:jc w:val="center"/>
            </w:pPr>
            <w:r>
              <w:rPr>
                <w:color w:val="595959"/>
                <w:sz w:val="14"/>
              </w:rPr>
              <w:t>PENETRACIÓN</w:t>
            </w:r>
          </w:p>
        </w:tc>
        <w:tc>
          <w:tcPr>
            <w:tcW w:w="1420" w:type="dxa"/>
            <w:noWrap/>
            <w:vAlign w:val="center"/>
          </w:tcPr>
          <w:p w14:paraId="7A2E373C" w14:textId="77777777" w:rsidR="00A37447" w:rsidRDefault="00A37447">
            <w:pPr>
              <w:keepNext/>
              <w:jc w:val="center"/>
            </w:pPr>
            <w:r>
              <w:rPr>
                <w:b/>
                <w:color w:val="00838F"/>
                <w:sz w:val="25"/>
              </w:rPr>
              <w:t>59 %</w:t>
            </w:r>
          </w:p>
          <w:p w14:paraId="5A09FB05" w14:textId="77777777" w:rsidR="00A37447" w:rsidRDefault="00A37447">
            <w:pPr>
              <w:keepNext/>
              <w:jc w:val="center"/>
            </w:pPr>
            <w:r>
              <w:rPr>
                <w:color w:val="595959"/>
                <w:sz w:val="14"/>
              </w:rPr>
              <w:t>COBERTURA</w:t>
            </w:r>
          </w:p>
        </w:tc>
        <w:tc>
          <w:tcPr>
            <w:tcW w:w="1420" w:type="dxa"/>
            <w:noWrap/>
            <w:vAlign w:val="center"/>
          </w:tcPr>
          <w:p w14:paraId="4BEFE354" w14:textId="77777777" w:rsidR="00A37447" w:rsidRDefault="00A37447">
            <w:pPr>
              <w:keepNext/>
              <w:jc w:val="center"/>
            </w:pPr>
            <w:r>
              <w:rPr>
                <w:b/>
                <w:color w:val="00838F"/>
              </w:rPr>
              <w:t>809 MMpcd</w:t>
            </w:r>
          </w:p>
          <w:p w14:paraId="4CF0F8AA" w14:textId="77777777" w:rsidR="00A37447" w:rsidRDefault="00A37447">
            <w:pPr>
              <w:keepNext/>
              <w:jc w:val="center"/>
            </w:pPr>
            <w:r>
              <w:rPr>
                <w:color w:val="595959"/>
                <w:sz w:val="14"/>
              </w:rPr>
              <w:t>VOLUMEN VENDIDO</w:t>
            </w:r>
          </w:p>
        </w:tc>
      </w:tr>
    </w:tbl>
    <w:p w14:paraId="7F36EF10" w14:textId="77777777" w:rsidR="00A37447" w:rsidRDefault="00A37447">
      <w:pPr>
        <w:keepNext/>
      </w:pPr>
    </w:p>
    <w:p w14:paraId="797E3737" w14:textId="77777777" w:rsidR="00A37447" w:rsidRPr="0036111A" w:rsidRDefault="00A37447">
      <w:pPr>
        <w:keepNext/>
        <w:keepLines/>
        <w:rPr>
          <w:rFonts w:cs="Arial"/>
          <w:lang w:val="es-PE"/>
        </w:rPr>
      </w:pPr>
      <w:r w:rsidRPr="0036111A">
        <w:rPr>
          <w:rFonts w:cs="Arial"/>
          <w:lang w:val="es-PE"/>
        </w:rPr>
        <w:t>Cálidda opera la concesión de distribución más antigua y, por ende, la de mayor avance en el Perú. Inició operaciones en 2004 y cubre la zona con mayor población (Lima y Callao). La vigencia de la concesión es hasta 2033, con posibilidad de prórroga hasta 2060. La composición accionaria de la empresa la conforman Grupo Energía Bogotá (60 %) y Promigas (40 %).</w:t>
      </w:r>
    </w:p>
    <w:p w14:paraId="316C3796" w14:textId="77777777" w:rsidR="00A37447" w:rsidRPr="0036111A" w:rsidRDefault="00A37447">
      <w:pPr>
        <w:keepNext/>
        <w:keepLines/>
        <w:spacing w:before="160" w:after="20"/>
        <w:rPr>
          <w:lang w:val="es-PE"/>
        </w:rPr>
      </w:pPr>
      <w:r w:rsidRPr="0036111A">
        <w:rPr>
          <w:b/>
          <w:color w:val="00838F"/>
          <w:sz w:val="20"/>
          <w:lang w:val="es-PE"/>
        </w:rPr>
        <w:t>CÁLIDDA: CLIENTES POR SEGMENTO</w:t>
      </w:r>
    </w:p>
    <w:p w14:paraId="1F9D3DA7" w14:textId="77777777" w:rsidR="00A37447" w:rsidRPr="0036111A" w:rsidRDefault="00A37447">
      <w:pPr>
        <w:keepNext/>
        <w:keepLines/>
        <w:spacing w:after="60"/>
        <w:rPr>
          <w:lang w:val="es-PE"/>
        </w:rPr>
      </w:pPr>
      <w:r w:rsidRPr="0036111A">
        <w:rPr>
          <w:i/>
          <w:sz w:val="17"/>
          <w:lang w:val="es-PE"/>
        </w:rPr>
        <w:t>Cantidad de conexiones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0F4A1A6F" w14:textId="77777777">
        <w:trPr>
          <w:cantSplit/>
          <w:tblHeader/>
        </w:trPr>
        <w:tc>
          <w:tcPr>
            <w:tcW w:w="1063" w:type="dxa"/>
            <w:shd w:val="clear" w:color="auto" w:fill="1F3864"/>
          </w:tcPr>
          <w:p w14:paraId="6E52E012" w14:textId="77777777" w:rsidR="00A37447" w:rsidRDefault="00A37447">
            <w:pPr>
              <w:keepNext/>
            </w:pPr>
            <w:r>
              <w:rPr>
                <w:b/>
                <w:color w:val="FFFFFF"/>
                <w:sz w:val="17"/>
              </w:rPr>
              <w:t>Sector</w:t>
            </w:r>
          </w:p>
        </w:tc>
        <w:tc>
          <w:tcPr>
            <w:tcW w:w="1063" w:type="dxa"/>
            <w:shd w:val="clear" w:color="auto" w:fill="1F3864"/>
            <w:noWrap/>
          </w:tcPr>
          <w:p w14:paraId="7C6AF96A" w14:textId="77777777" w:rsidR="00A37447" w:rsidRDefault="00A37447">
            <w:pPr>
              <w:keepNext/>
              <w:jc w:val="right"/>
            </w:pPr>
            <w:r>
              <w:rPr>
                <w:b/>
                <w:color w:val="FFFFFF"/>
                <w:sz w:val="17"/>
              </w:rPr>
              <w:t>2021</w:t>
            </w:r>
          </w:p>
        </w:tc>
        <w:tc>
          <w:tcPr>
            <w:tcW w:w="1063" w:type="dxa"/>
            <w:shd w:val="clear" w:color="auto" w:fill="1F3864"/>
            <w:noWrap/>
          </w:tcPr>
          <w:p w14:paraId="2EEF407C" w14:textId="77777777" w:rsidR="00A37447" w:rsidRDefault="00A37447">
            <w:pPr>
              <w:keepNext/>
              <w:jc w:val="right"/>
            </w:pPr>
            <w:r>
              <w:rPr>
                <w:b/>
                <w:color w:val="FFFFFF"/>
                <w:sz w:val="17"/>
              </w:rPr>
              <w:t>2022</w:t>
            </w:r>
          </w:p>
        </w:tc>
        <w:tc>
          <w:tcPr>
            <w:tcW w:w="1063" w:type="dxa"/>
            <w:shd w:val="clear" w:color="auto" w:fill="1F3864"/>
            <w:noWrap/>
          </w:tcPr>
          <w:p w14:paraId="2B899AF5" w14:textId="77777777" w:rsidR="00A37447" w:rsidRDefault="00A37447">
            <w:pPr>
              <w:keepNext/>
              <w:jc w:val="right"/>
            </w:pPr>
            <w:r>
              <w:rPr>
                <w:b/>
                <w:color w:val="FFFFFF"/>
                <w:sz w:val="17"/>
              </w:rPr>
              <w:t>2023</w:t>
            </w:r>
          </w:p>
        </w:tc>
        <w:tc>
          <w:tcPr>
            <w:tcW w:w="1063" w:type="dxa"/>
            <w:shd w:val="clear" w:color="auto" w:fill="1F3864"/>
            <w:noWrap/>
          </w:tcPr>
          <w:p w14:paraId="590A6E89" w14:textId="77777777" w:rsidR="00A37447" w:rsidRDefault="00A37447">
            <w:pPr>
              <w:keepNext/>
              <w:jc w:val="right"/>
            </w:pPr>
            <w:r>
              <w:rPr>
                <w:b/>
                <w:color w:val="FFFFFF"/>
                <w:sz w:val="17"/>
              </w:rPr>
              <w:t>2024</w:t>
            </w:r>
          </w:p>
        </w:tc>
        <w:tc>
          <w:tcPr>
            <w:tcW w:w="1063" w:type="dxa"/>
            <w:shd w:val="clear" w:color="auto" w:fill="1F3864"/>
            <w:noWrap/>
          </w:tcPr>
          <w:p w14:paraId="003F6D31" w14:textId="77777777" w:rsidR="00A37447" w:rsidRDefault="00A37447">
            <w:pPr>
              <w:keepNext/>
              <w:jc w:val="right"/>
            </w:pPr>
            <w:r>
              <w:rPr>
                <w:b/>
                <w:color w:val="FFFFFF"/>
                <w:sz w:val="17"/>
              </w:rPr>
              <w:t>2025</w:t>
            </w:r>
          </w:p>
        </w:tc>
        <w:tc>
          <w:tcPr>
            <w:tcW w:w="1063" w:type="dxa"/>
            <w:shd w:val="clear" w:color="auto" w:fill="1F3864"/>
          </w:tcPr>
          <w:p w14:paraId="1C4CA81A" w14:textId="77777777" w:rsidR="00A37447" w:rsidRDefault="00A37447">
            <w:pPr>
              <w:keepNext/>
              <w:jc w:val="right"/>
            </w:pPr>
            <w:r>
              <w:rPr>
                <w:b/>
                <w:color w:val="FFFFFF"/>
                <w:sz w:val="17"/>
              </w:rPr>
              <w:t>Var. % 2025 vs 2024</w:t>
            </w:r>
          </w:p>
        </w:tc>
        <w:tc>
          <w:tcPr>
            <w:tcW w:w="1063" w:type="dxa"/>
            <w:shd w:val="clear" w:color="auto" w:fill="1F3864"/>
          </w:tcPr>
          <w:p w14:paraId="43D9A2DF" w14:textId="77777777" w:rsidR="00A37447" w:rsidRDefault="00A37447">
            <w:pPr>
              <w:keepNext/>
              <w:jc w:val="right"/>
            </w:pPr>
            <w:r>
              <w:rPr>
                <w:b/>
                <w:color w:val="FFFFFF"/>
                <w:sz w:val="17"/>
              </w:rPr>
              <w:t>TACC 2021-2025</w:t>
            </w:r>
          </w:p>
        </w:tc>
      </w:tr>
      <w:tr w:rsidR="00855697" w14:paraId="33DDCF80" w14:textId="77777777">
        <w:trPr>
          <w:cantSplit/>
        </w:trPr>
        <w:tc>
          <w:tcPr>
            <w:tcW w:w="1063" w:type="dxa"/>
          </w:tcPr>
          <w:p w14:paraId="28E4CA80" w14:textId="77777777" w:rsidR="00A37447" w:rsidRDefault="00A37447">
            <w:pPr>
              <w:keepNext/>
              <w:spacing w:after="20"/>
            </w:pPr>
            <w:r>
              <w:rPr>
                <w:sz w:val="17"/>
              </w:rPr>
              <w:t>Residencial y comercial</w:t>
            </w:r>
          </w:p>
        </w:tc>
        <w:tc>
          <w:tcPr>
            <w:tcW w:w="1063" w:type="dxa"/>
            <w:noWrap/>
          </w:tcPr>
          <w:p w14:paraId="6C39507D" w14:textId="77777777" w:rsidR="00A37447" w:rsidRDefault="00A37447">
            <w:pPr>
              <w:keepNext/>
              <w:spacing w:after="20"/>
              <w:jc w:val="right"/>
            </w:pPr>
            <w:r>
              <w:rPr>
                <w:sz w:val="16"/>
              </w:rPr>
              <w:t>1.299.065</w:t>
            </w:r>
          </w:p>
        </w:tc>
        <w:tc>
          <w:tcPr>
            <w:tcW w:w="1063" w:type="dxa"/>
            <w:noWrap/>
          </w:tcPr>
          <w:p w14:paraId="6DD1A9E4" w14:textId="77777777" w:rsidR="00A37447" w:rsidRDefault="00A37447">
            <w:pPr>
              <w:keepNext/>
              <w:spacing w:after="20"/>
              <w:jc w:val="right"/>
            </w:pPr>
            <w:r>
              <w:rPr>
                <w:sz w:val="16"/>
              </w:rPr>
              <w:t>1.559.269</w:t>
            </w:r>
          </w:p>
        </w:tc>
        <w:tc>
          <w:tcPr>
            <w:tcW w:w="1063" w:type="dxa"/>
            <w:noWrap/>
          </w:tcPr>
          <w:p w14:paraId="1F6F91FB" w14:textId="77777777" w:rsidR="00A37447" w:rsidRDefault="00A37447">
            <w:pPr>
              <w:keepNext/>
              <w:spacing w:after="20"/>
              <w:jc w:val="right"/>
            </w:pPr>
            <w:r>
              <w:rPr>
                <w:sz w:val="16"/>
              </w:rPr>
              <w:t>1.781.421</w:t>
            </w:r>
          </w:p>
        </w:tc>
        <w:tc>
          <w:tcPr>
            <w:tcW w:w="1063" w:type="dxa"/>
            <w:noWrap/>
          </w:tcPr>
          <w:p w14:paraId="1640114B" w14:textId="77777777" w:rsidR="00A37447" w:rsidRDefault="00A37447">
            <w:pPr>
              <w:keepNext/>
              <w:spacing w:after="20"/>
              <w:jc w:val="right"/>
            </w:pPr>
            <w:r>
              <w:rPr>
                <w:sz w:val="16"/>
              </w:rPr>
              <w:t>1.965.002</w:t>
            </w:r>
          </w:p>
        </w:tc>
        <w:tc>
          <w:tcPr>
            <w:tcW w:w="1063" w:type="dxa"/>
            <w:noWrap/>
          </w:tcPr>
          <w:p w14:paraId="32E42C2F" w14:textId="77777777" w:rsidR="00A37447" w:rsidRDefault="00A37447">
            <w:pPr>
              <w:keepNext/>
              <w:spacing w:after="20"/>
              <w:jc w:val="right"/>
            </w:pPr>
            <w:r>
              <w:rPr>
                <w:sz w:val="16"/>
              </w:rPr>
              <w:t>2.081.630</w:t>
            </w:r>
          </w:p>
        </w:tc>
        <w:tc>
          <w:tcPr>
            <w:tcW w:w="1063" w:type="dxa"/>
            <w:noWrap/>
          </w:tcPr>
          <w:p w14:paraId="767FDAEA" w14:textId="77777777" w:rsidR="00A37447" w:rsidRDefault="00A37447">
            <w:pPr>
              <w:keepNext/>
              <w:spacing w:after="20"/>
              <w:jc w:val="right"/>
            </w:pPr>
            <w:r>
              <w:rPr>
                <w:sz w:val="16"/>
              </w:rPr>
              <w:t>5,9 %</w:t>
            </w:r>
          </w:p>
        </w:tc>
        <w:tc>
          <w:tcPr>
            <w:tcW w:w="1063" w:type="dxa"/>
            <w:noWrap/>
          </w:tcPr>
          <w:p w14:paraId="21FE4D07" w14:textId="77777777" w:rsidR="00A37447" w:rsidRDefault="00A37447">
            <w:pPr>
              <w:keepNext/>
              <w:spacing w:after="20"/>
              <w:jc w:val="right"/>
            </w:pPr>
            <w:r>
              <w:rPr>
                <w:sz w:val="16"/>
              </w:rPr>
              <w:t>12,5 %</w:t>
            </w:r>
          </w:p>
        </w:tc>
      </w:tr>
      <w:tr w:rsidR="00855697" w14:paraId="00C742BF" w14:textId="77777777">
        <w:trPr>
          <w:cantSplit/>
        </w:trPr>
        <w:tc>
          <w:tcPr>
            <w:tcW w:w="1063" w:type="dxa"/>
            <w:noWrap/>
          </w:tcPr>
          <w:p w14:paraId="5F6E1FB0" w14:textId="77777777" w:rsidR="00A37447" w:rsidRDefault="00A37447">
            <w:pPr>
              <w:keepNext/>
              <w:spacing w:after="20"/>
            </w:pPr>
            <w:r>
              <w:rPr>
                <w:sz w:val="17"/>
              </w:rPr>
              <w:t>Industrial</w:t>
            </w:r>
          </w:p>
        </w:tc>
        <w:tc>
          <w:tcPr>
            <w:tcW w:w="1063" w:type="dxa"/>
            <w:noWrap/>
          </w:tcPr>
          <w:p w14:paraId="1EC29A00" w14:textId="77777777" w:rsidR="00A37447" w:rsidRDefault="00A37447">
            <w:pPr>
              <w:keepNext/>
              <w:spacing w:after="20"/>
              <w:jc w:val="right"/>
            </w:pPr>
            <w:r>
              <w:rPr>
                <w:sz w:val="16"/>
              </w:rPr>
              <w:t>742</w:t>
            </w:r>
          </w:p>
        </w:tc>
        <w:tc>
          <w:tcPr>
            <w:tcW w:w="1063" w:type="dxa"/>
            <w:noWrap/>
          </w:tcPr>
          <w:p w14:paraId="2A9ABD88" w14:textId="77777777" w:rsidR="00A37447" w:rsidRDefault="00A37447">
            <w:pPr>
              <w:keepNext/>
              <w:spacing w:after="20"/>
              <w:jc w:val="right"/>
            </w:pPr>
            <w:r>
              <w:rPr>
                <w:sz w:val="16"/>
              </w:rPr>
              <w:t>790</w:t>
            </w:r>
          </w:p>
        </w:tc>
        <w:tc>
          <w:tcPr>
            <w:tcW w:w="1063" w:type="dxa"/>
            <w:noWrap/>
          </w:tcPr>
          <w:p w14:paraId="0D65C17B" w14:textId="77777777" w:rsidR="00A37447" w:rsidRDefault="00A37447">
            <w:pPr>
              <w:keepNext/>
              <w:spacing w:after="20"/>
              <w:jc w:val="right"/>
            </w:pPr>
            <w:r>
              <w:rPr>
                <w:sz w:val="16"/>
              </w:rPr>
              <w:t>852</w:t>
            </w:r>
          </w:p>
        </w:tc>
        <w:tc>
          <w:tcPr>
            <w:tcW w:w="1063" w:type="dxa"/>
            <w:noWrap/>
          </w:tcPr>
          <w:p w14:paraId="13BC5292" w14:textId="77777777" w:rsidR="00A37447" w:rsidRDefault="00A37447">
            <w:pPr>
              <w:keepNext/>
              <w:spacing w:after="20"/>
              <w:jc w:val="right"/>
            </w:pPr>
            <w:r>
              <w:rPr>
                <w:sz w:val="16"/>
              </w:rPr>
              <w:t>916</w:t>
            </w:r>
          </w:p>
        </w:tc>
        <w:tc>
          <w:tcPr>
            <w:tcW w:w="1063" w:type="dxa"/>
            <w:noWrap/>
          </w:tcPr>
          <w:p w14:paraId="3AB85812" w14:textId="77777777" w:rsidR="00A37447" w:rsidRDefault="00A37447">
            <w:pPr>
              <w:keepNext/>
              <w:spacing w:after="20"/>
              <w:jc w:val="right"/>
            </w:pPr>
            <w:r>
              <w:rPr>
                <w:sz w:val="16"/>
              </w:rPr>
              <w:t>985</w:t>
            </w:r>
          </w:p>
        </w:tc>
        <w:tc>
          <w:tcPr>
            <w:tcW w:w="1063" w:type="dxa"/>
            <w:noWrap/>
          </w:tcPr>
          <w:p w14:paraId="4D178ABF" w14:textId="77777777" w:rsidR="00A37447" w:rsidRDefault="00A37447">
            <w:pPr>
              <w:keepNext/>
              <w:spacing w:after="20"/>
              <w:jc w:val="right"/>
            </w:pPr>
            <w:r>
              <w:rPr>
                <w:sz w:val="16"/>
              </w:rPr>
              <w:t>7,5 %</w:t>
            </w:r>
          </w:p>
        </w:tc>
        <w:tc>
          <w:tcPr>
            <w:tcW w:w="1063" w:type="dxa"/>
            <w:noWrap/>
          </w:tcPr>
          <w:p w14:paraId="1B32A3EC" w14:textId="77777777" w:rsidR="00A37447" w:rsidRDefault="00A37447">
            <w:pPr>
              <w:keepNext/>
              <w:spacing w:after="20"/>
              <w:jc w:val="right"/>
            </w:pPr>
            <w:r>
              <w:rPr>
                <w:sz w:val="16"/>
              </w:rPr>
              <w:t>7,3 %</w:t>
            </w:r>
          </w:p>
        </w:tc>
      </w:tr>
      <w:tr w:rsidR="00855697" w14:paraId="5879C3E8" w14:textId="77777777">
        <w:trPr>
          <w:cantSplit/>
        </w:trPr>
        <w:tc>
          <w:tcPr>
            <w:tcW w:w="1063" w:type="dxa"/>
          </w:tcPr>
          <w:p w14:paraId="77583ABA" w14:textId="77777777" w:rsidR="00A37447" w:rsidRPr="0036111A" w:rsidRDefault="00A37447">
            <w:pPr>
              <w:keepNext/>
              <w:spacing w:after="20"/>
              <w:rPr>
                <w:lang w:val="es-PE"/>
              </w:rPr>
            </w:pPr>
            <w:r w:rsidRPr="0036111A">
              <w:rPr>
                <w:sz w:val="17"/>
                <w:lang w:val="es-PE"/>
              </w:rPr>
              <w:t>Estaciones de servicio de GNV</w:t>
            </w:r>
          </w:p>
        </w:tc>
        <w:tc>
          <w:tcPr>
            <w:tcW w:w="1063" w:type="dxa"/>
            <w:noWrap/>
          </w:tcPr>
          <w:p w14:paraId="0ED1EB42" w14:textId="77777777" w:rsidR="00A37447" w:rsidRDefault="00A37447">
            <w:pPr>
              <w:keepNext/>
              <w:spacing w:after="20"/>
              <w:jc w:val="right"/>
            </w:pPr>
            <w:r>
              <w:rPr>
                <w:sz w:val="16"/>
              </w:rPr>
              <w:t>287</w:t>
            </w:r>
          </w:p>
        </w:tc>
        <w:tc>
          <w:tcPr>
            <w:tcW w:w="1063" w:type="dxa"/>
            <w:noWrap/>
          </w:tcPr>
          <w:p w14:paraId="263B0165" w14:textId="77777777" w:rsidR="00A37447" w:rsidRDefault="00A37447">
            <w:pPr>
              <w:keepNext/>
              <w:spacing w:after="20"/>
              <w:jc w:val="right"/>
            </w:pPr>
            <w:r>
              <w:rPr>
                <w:sz w:val="16"/>
              </w:rPr>
              <w:t>291</w:t>
            </w:r>
          </w:p>
        </w:tc>
        <w:tc>
          <w:tcPr>
            <w:tcW w:w="1063" w:type="dxa"/>
            <w:noWrap/>
          </w:tcPr>
          <w:p w14:paraId="40B13EEE" w14:textId="77777777" w:rsidR="00A37447" w:rsidRDefault="00A37447">
            <w:pPr>
              <w:keepNext/>
              <w:spacing w:after="20"/>
              <w:jc w:val="right"/>
            </w:pPr>
            <w:r>
              <w:rPr>
                <w:sz w:val="16"/>
              </w:rPr>
              <w:t>294</w:t>
            </w:r>
          </w:p>
        </w:tc>
        <w:tc>
          <w:tcPr>
            <w:tcW w:w="1063" w:type="dxa"/>
            <w:noWrap/>
          </w:tcPr>
          <w:p w14:paraId="6AC815FD" w14:textId="77777777" w:rsidR="00A37447" w:rsidRDefault="00A37447">
            <w:pPr>
              <w:keepNext/>
              <w:spacing w:after="20"/>
              <w:jc w:val="right"/>
            </w:pPr>
            <w:r>
              <w:rPr>
                <w:sz w:val="16"/>
              </w:rPr>
              <w:t>294</w:t>
            </w:r>
          </w:p>
        </w:tc>
        <w:tc>
          <w:tcPr>
            <w:tcW w:w="1063" w:type="dxa"/>
            <w:noWrap/>
          </w:tcPr>
          <w:p w14:paraId="19006979" w14:textId="77777777" w:rsidR="00A37447" w:rsidRDefault="00A37447">
            <w:pPr>
              <w:keepNext/>
              <w:spacing w:after="20"/>
              <w:jc w:val="right"/>
            </w:pPr>
            <w:r>
              <w:rPr>
                <w:sz w:val="16"/>
              </w:rPr>
              <w:t>294</w:t>
            </w:r>
          </w:p>
        </w:tc>
        <w:tc>
          <w:tcPr>
            <w:tcW w:w="1063" w:type="dxa"/>
            <w:noWrap/>
          </w:tcPr>
          <w:p w14:paraId="3FDB036D" w14:textId="77777777" w:rsidR="00A37447" w:rsidRDefault="00A37447">
            <w:pPr>
              <w:keepNext/>
              <w:spacing w:after="20"/>
              <w:jc w:val="right"/>
            </w:pPr>
            <w:r>
              <w:rPr>
                <w:sz w:val="16"/>
              </w:rPr>
              <w:t>0,0 %</w:t>
            </w:r>
          </w:p>
        </w:tc>
        <w:tc>
          <w:tcPr>
            <w:tcW w:w="1063" w:type="dxa"/>
            <w:noWrap/>
          </w:tcPr>
          <w:p w14:paraId="501F367A" w14:textId="77777777" w:rsidR="00A37447" w:rsidRDefault="00A37447">
            <w:pPr>
              <w:keepNext/>
              <w:spacing w:after="20"/>
              <w:jc w:val="right"/>
            </w:pPr>
            <w:r>
              <w:rPr>
                <w:sz w:val="16"/>
              </w:rPr>
              <w:t>0,6 %</w:t>
            </w:r>
          </w:p>
        </w:tc>
      </w:tr>
      <w:tr w:rsidR="00855697" w14:paraId="2E1A708B" w14:textId="77777777">
        <w:trPr>
          <w:cantSplit/>
        </w:trPr>
        <w:tc>
          <w:tcPr>
            <w:tcW w:w="1063" w:type="dxa"/>
          </w:tcPr>
          <w:p w14:paraId="525D7019" w14:textId="77777777" w:rsidR="00A37447" w:rsidRDefault="00A37447">
            <w:pPr>
              <w:keepNext/>
              <w:spacing w:after="20"/>
            </w:pPr>
            <w:r>
              <w:rPr>
                <w:sz w:val="17"/>
              </w:rPr>
              <w:t>Generación eléctrica</w:t>
            </w:r>
          </w:p>
        </w:tc>
        <w:tc>
          <w:tcPr>
            <w:tcW w:w="1063" w:type="dxa"/>
            <w:noWrap/>
          </w:tcPr>
          <w:p w14:paraId="65A26099" w14:textId="77777777" w:rsidR="00A37447" w:rsidRDefault="00A37447">
            <w:pPr>
              <w:keepNext/>
              <w:spacing w:after="20"/>
              <w:jc w:val="right"/>
            </w:pPr>
            <w:r>
              <w:rPr>
                <w:sz w:val="16"/>
              </w:rPr>
              <w:t>28</w:t>
            </w:r>
          </w:p>
        </w:tc>
        <w:tc>
          <w:tcPr>
            <w:tcW w:w="1063" w:type="dxa"/>
            <w:noWrap/>
          </w:tcPr>
          <w:p w14:paraId="2160AE8B" w14:textId="77777777" w:rsidR="00A37447" w:rsidRDefault="00A37447">
            <w:pPr>
              <w:keepNext/>
              <w:spacing w:after="20"/>
              <w:jc w:val="right"/>
            </w:pPr>
            <w:r>
              <w:rPr>
                <w:sz w:val="16"/>
              </w:rPr>
              <w:t>29</w:t>
            </w:r>
          </w:p>
        </w:tc>
        <w:tc>
          <w:tcPr>
            <w:tcW w:w="1063" w:type="dxa"/>
            <w:noWrap/>
          </w:tcPr>
          <w:p w14:paraId="1514BFA0" w14:textId="77777777" w:rsidR="00A37447" w:rsidRDefault="00A37447">
            <w:pPr>
              <w:keepNext/>
              <w:spacing w:after="20"/>
              <w:jc w:val="right"/>
            </w:pPr>
            <w:r>
              <w:rPr>
                <w:sz w:val="16"/>
              </w:rPr>
              <w:t>29</w:t>
            </w:r>
          </w:p>
        </w:tc>
        <w:tc>
          <w:tcPr>
            <w:tcW w:w="1063" w:type="dxa"/>
            <w:noWrap/>
          </w:tcPr>
          <w:p w14:paraId="58080848" w14:textId="77777777" w:rsidR="00A37447" w:rsidRDefault="00A37447">
            <w:pPr>
              <w:keepNext/>
              <w:spacing w:after="20"/>
              <w:jc w:val="right"/>
            </w:pPr>
            <w:r>
              <w:rPr>
                <w:sz w:val="16"/>
              </w:rPr>
              <w:t>35</w:t>
            </w:r>
          </w:p>
        </w:tc>
        <w:tc>
          <w:tcPr>
            <w:tcW w:w="1063" w:type="dxa"/>
            <w:noWrap/>
          </w:tcPr>
          <w:p w14:paraId="4732A3F9" w14:textId="77777777" w:rsidR="00A37447" w:rsidRDefault="00A37447">
            <w:pPr>
              <w:keepNext/>
              <w:spacing w:after="20"/>
              <w:jc w:val="right"/>
            </w:pPr>
            <w:r>
              <w:rPr>
                <w:sz w:val="16"/>
              </w:rPr>
              <w:t>39</w:t>
            </w:r>
          </w:p>
        </w:tc>
        <w:tc>
          <w:tcPr>
            <w:tcW w:w="1063" w:type="dxa"/>
            <w:noWrap/>
          </w:tcPr>
          <w:p w14:paraId="7CC95DEC" w14:textId="77777777" w:rsidR="00A37447" w:rsidRDefault="00A37447">
            <w:pPr>
              <w:keepNext/>
              <w:spacing w:after="20"/>
              <w:jc w:val="right"/>
            </w:pPr>
            <w:r>
              <w:rPr>
                <w:sz w:val="16"/>
              </w:rPr>
              <w:t>11,4 %</w:t>
            </w:r>
          </w:p>
        </w:tc>
        <w:tc>
          <w:tcPr>
            <w:tcW w:w="1063" w:type="dxa"/>
            <w:noWrap/>
          </w:tcPr>
          <w:p w14:paraId="5425181A" w14:textId="77777777" w:rsidR="00A37447" w:rsidRDefault="00A37447">
            <w:pPr>
              <w:keepNext/>
              <w:spacing w:after="20"/>
              <w:jc w:val="right"/>
            </w:pPr>
            <w:r>
              <w:rPr>
                <w:sz w:val="16"/>
              </w:rPr>
              <w:t>8,6 %</w:t>
            </w:r>
          </w:p>
        </w:tc>
      </w:tr>
      <w:tr w:rsidR="00855697" w14:paraId="2E68301B" w14:textId="77777777">
        <w:trPr>
          <w:cantSplit/>
        </w:trPr>
        <w:tc>
          <w:tcPr>
            <w:tcW w:w="1063" w:type="dxa"/>
            <w:noWrap/>
          </w:tcPr>
          <w:p w14:paraId="475C48D5" w14:textId="77777777" w:rsidR="00A37447" w:rsidRDefault="00A37447">
            <w:pPr>
              <w:keepNext/>
              <w:spacing w:after="20"/>
            </w:pPr>
            <w:r>
              <w:rPr>
                <w:b/>
                <w:sz w:val="17"/>
              </w:rPr>
              <w:t>Total</w:t>
            </w:r>
          </w:p>
        </w:tc>
        <w:tc>
          <w:tcPr>
            <w:tcW w:w="1063" w:type="dxa"/>
            <w:noWrap/>
          </w:tcPr>
          <w:p w14:paraId="3A62E008" w14:textId="77777777" w:rsidR="00A37447" w:rsidRDefault="00A37447">
            <w:pPr>
              <w:keepNext/>
              <w:spacing w:after="20"/>
              <w:jc w:val="right"/>
            </w:pPr>
            <w:r>
              <w:rPr>
                <w:sz w:val="16"/>
              </w:rPr>
              <w:t>1.300.122</w:t>
            </w:r>
          </w:p>
        </w:tc>
        <w:tc>
          <w:tcPr>
            <w:tcW w:w="1063" w:type="dxa"/>
            <w:noWrap/>
          </w:tcPr>
          <w:p w14:paraId="7E3965C6" w14:textId="77777777" w:rsidR="00A37447" w:rsidRDefault="00A37447">
            <w:pPr>
              <w:keepNext/>
              <w:spacing w:after="20"/>
              <w:jc w:val="right"/>
            </w:pPr>
            <w:r>
              <w:rPr>
                <w:sz w:val="16"/>
              </w:rPr>
              <w:t>1.560.379</w:t>
            </w:r>
          </w:p>
        </w:tc>
        <w:tc>
          <w:tcPr>
            <w:tcW w:w="1063" w:type="dxa"/>
            <w:noWrap/>
          </w:tcPr>
          <w:p w14:paraId="7B025915" w14:textId="77777777" w:rsidR="00A37447" w:rsidRDefault="00A37447">
            <w:pPr>
              <w:keepNext/>
              <w:spacing w:after="20"/>
              <w:jc w:val="right"/>
            </w:pPr>
            <w:r>
              <w:rPr>
                <w:sz w:val="16"/>
              </w:rPr>
              <w:t>1.782.596</w:t>
            </w:r>
          </w:p>
        </w:tc>
        <w:tc>
          <w:tcPr>
            <w:tcW w:w="1063" w:type="dxa"/>
            <w:noWrap/>
          </w:tcPr>
          <w:p w14:paraId="24207A15" w14:textId="77777777" w:rsidR="00A37447" w:rsidRDefault="00A37447">
            <w:pPr>
              <w:keepNext/>
              <w:spacing w:after="20"/>
              <w:jc w:val="right"/>
            </w:pPr>
            <w:r>
              <w:rPr>
                <w:sz w:val="16"/>
              </w:rPr>
              <w:t>1.966.247</w:t>
            </w:r>
          </w:p>
        </w:tc>
        <w:tc>
          <w:tcPr>
            <w:tcW w:w="1063" w:type="dxa"/>
            <w:noWrap/>
          </w:tcPr>
          <w:p w14:paraId="0CF8506C" w14:textId="77777777" w:rsidR="00A37447" w:rsidRDefault="00A37447">
            <w:pPr>
              <w:keepNext/>
              <w:spacing w:after="20"/>
              <w:jc w:val="right"/>
            </w:pPr>
            <w:r>
              <w:rPr>
                <w:sz w:val="16"/>
              </w:rPr>
              <w:t>2.082.948</w:t>
            </w:r>
          </w:p>
        </w:tc>
        <w:tc>
          <w:tcPr>
            <w:tcW w:w="1063" w:type="dxa"/>
            <w:noWrap/>
          </w:tcPr>
          <w:p w14:paraId="2D31FC14" w14:textId="77777777" w:rsidR="00A37447" w:rsidRDefault="00A37447">
            <w:pPr>
              <w:keepNext/>
              <w:spacing w:after="20"/>
              <w:jc w:val="right"/>
            </w:pPr>
            <w:r>
              <w:rPr>
                <w:sz w:val="16"/>
              </w:rPr>
              <w:t>5,9 %</w:t>
            </w:r>
          </w:p>
        </w:tc>
        <w:tc>
          <w:tcPr>
            <w:tcW w:w="1063" w:type="dxa"/>
            <w:noWrap/>
          </w:tcPr>
          <w:p w14:paraId="71A0519F" w14:textId="77777777" w:rsidR="00A37447" w:rsidRDefault="00A37447">
            <w:pPr>
              <w:keepNext/>
              <w:spacing w:after="20"/>
              <w:jc w:val="right"/>
            </w:pPr>
            <w:r>
              <w:rPr>
                <w:sz w:val="16"/>
              </w:rPr>
              <w:t>12,5 %</w:t>
            </w:r>
          </w:p>
        </w:tc>
      </w:tr>
    </w:tbl>
    <w:p w14:paraId="6E0A52A6" w14:textId="77777777" w:rsidR="00A37447" w:rsidRPr="00B4606A" w:rsidRDefault="00A37447">
      <w:pPr>
        <w:keepLines/>
        <w:spacing w:before="40"/>
        <w:jc w:val="right"/>
        <w:rPr>
          <w:lang w:val="es-PE"/>
        </w:rPr>
      </w:pPr>
      <w:r w:rsidRPr="00B4606A">
        <w:rPr>
          <w:color w:val="404040"/>
          <w:sz w:val="15"/>
          <w:lang w:val="es-PE"/>
        </w:rPr>
        <w:t>NOTA: Generación eléctrica incluye clientes regulados y no regulados; en 2025, 18 de los 39 son no regulados.</w:t>
      </w:r>
    </w:p>
    <w:p w14:paraId="24E322E4" w14:textId="77777777" w:rsidR="00A37447" w:rsidRDefault="00A37447">
      <w:pPr>
        <w:keepLines/>
        <w:spacing w:before="40"/>
        <w:jc w:val="right"/>
      </w:pPr>
      <w:r>
        <w:rPr>
          <w:b/>
          <w:color w:val="404040"/>
          <w:sz w:val="15"/>
        </w:rPr>
        <w:t>FUENTE: Cálidda</w:t>
      </w:r>
    </w:p>
    <w:p w14:paraId="4706CEBC" w14:textId="127631B1" w:rsidR="00A37447" w:rsidRDefault="00A37447">
      <w:pPr>
        <w:spacing w:before="160"/>
        <w:jc w:val="center"/>
      </w:pPr>
      <w:r>
        <w:rPr>
          <w:noProof/>
        </w:rPr>
        <w:drawing>
          <wp:inline distT="0" distB="0" distL="0" distR="0" wp14:anchorId="46267C36" wp14:editId="4D77FD4E">
            <wp:extent cx="4320000" cy="2710708"/>
            <wp:effectExtent l="0" t="0" r="0" b="0"/>
            <wp:docPr id="2110891785" name="Imagen 2110891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4.png"/>
                    <pic:cNvPicPr/>
                  </pic:nvPicPr>
                  <pic:blipFill>
                    <a:blip r:embed="rId58"/>
                    <a:stretch>
                      <a:fillRect/>
                    </a:stretch>
                  </pic:blipFill>
                  <pic:spPr>
                    <a:xfrm>
                      <a:off x="0" y="0"/>
                      <a:ext cx="4320000" cy="2710708"/>
                    </a:xfrm>
                    <a:prstGeom prst="rect">
                      <a:avLst/>
                    </a:prstGeom>
                  </pic:spPr>
                </pic:pic>
              </a:graphicData>
            </a:graphic>
          </wp:inline>
        </w:drawing>
      </w:r>
    </w:p>
    <w:p w14:paraId="0A65323F" w14:textId="3C96DBC6" w:rsidR="00A37447" w:rsidRPr="0036111A" w:rsidRDefault="00A37447">
      <w:pPr>
        <w:keepLines/>
        <w:rPr>
          <w:b/>
          <w:bCs/>
          <w:lang w:val="es-PE"/>
        </w:rPr>
      </w:pPr>
      <w:r w:rsidRPr="0036111A">
        <w:rPr>
          <w:bCs/>
          <w:lang w:val="es-PE"/>
        </w:rPr>
        <w:lastRenderedPageBreak/>
        <w:t>En 2025, Cálidda</w:t>
      </w:r>
      <w:r>
        <w:rPr>
          <w:bCs/>
          <w:lang w:val="es-PE"/>
        </w:rPr>
        <w:t>,</w:t>
      </w:r>
      <w:r w:rsidRPr="0036111A">
        <w:rPr>
          <w:bCs/>
          <w:lang w:val="es-PE"/>
        </w:rPr>
        <w:t xml:space="preserve"> </w:t>
      </w:r>
      <w:r>
        <w:rPr>
          <w:bCs/>
          <w:lang w:val="es-PE"/>
        </w:rPr>
        <w:t xml:space="preserve">al incorporar </w:t>
      </w:r>
      <w:r w:rsidRPr="0036111A">
        <w:rPr>
          <w:bCs/>
          <w:lang w:val="es-PE"/>
        </w:rPr>
        <w:t xml:space="preserve">alrededor de 117 mil nuevos usuarios, </w:t>
      </w:r>
      <w:r>
        <w:rPr>
          <w:bCs/>
          <w:lang w:val="es-PE"/>
        </w:rPr>
        <w:t xml:space="preserve">alcanzó </w:t>
      </w:r>
      <w:r w:rsidRPr="0036111A">
        <w:rPr>
          <w:bCs/>
          <w:lang w:val="es-PE"/>
        </w:rPr>
        <w:t xml:space="preserve">más de 2,08 millones de conexiones acumuladas. Este avance le permitió abastecer de gas natural al 59 % de los hogares en la zona urbana de Lima y Callao, 2 puntos porcentuales más que en 2024. La tasa de penetración llegó al 80 % de los clientes potenciales en zonas con redes ya construidas. La empresa amplió su red en cerca de 880 km adicionales, </w:t>
      </w:r>
      <w:r>
        <w:rPr>
          <w:bCs/>
          <w:lang w:val="es-PE"/>
        </w:rPr>
        <w:t xml:space="preserve">hasta alcanzar </w:t>
      </w:r>
      <w:r w:rsidRPr="0036111A">
        <w:rPr>
          <w:bCs/>
          <w:lang w:val="es-PE"/>
        </w:rPr>
        <w:t>los 19.037 km en total.</w:t>
      </w:r>
    </w:p>
    <w:p w14:paraId="674553E8" w14:textId="77777777" w:rsidR="00A37447" w:rsidRPr="0036111A" w:rsidRDefault="00A37447">
      <w:pPr>
        <w:rPr>
          <w:b/>
          <w:bCs/>
          <w:lang w:val="es-PE"/>
        </w:rPr>
      </w:pPr>
    </w:p>
    <w:p w14:paraId="69B0CDE2" w14:textId="5CF0652A" w:rsidR="00A37447" w:rsidRDefault="00A37447">
      <w:pPr>
        <w:spacing w:before="160"/>
        <w:jc w:val="center"/>
        <w:rPr>
          <w:b/>
          <w:bCs/>
        </w:rPr>
      </w:pPr>
      <w:r>
        <w:rPr>
          <w:noProof/>
        </w:rPr>
        <w:drawing>
          <wp:inline distT="0" distB="0" distL="0" distR="0" wp14:anchorId="0F3D8370" wp14:editId="45E81AF5">
            <wp:extent cx="4320000" cy="2710708"/>
            <wp:effectExtent l="0" t="0" r="0" b="0"/>
            <wp:docPr id="2110891786" name="Imagen 211089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5.png"/>
                    <pic:cNvPicPr/>
                  </pic:nvPicPr>
                  <pic:blipFill>
                    <a:blip r:embed="rId59"/>
                    <a:stretch>
                      <a:fillRect/>
                    </a:stretch>
                  </pic:blipFill>
                  <pic:spPr>
                    <a:xfrm>
                      <a:off x="0" y="0"/>
                      <a:ext cx="4320000" cy="2710708"/>
                    </a:xfrm>
                    <a:prstGeom prst="rect">
                      <a:avLst/>
                    </a:prstGeom>
                  </pic:spPr>
                </pic:pic>
              </a:graphicData>
            </a:graphic>
          </wp:inline>
        </w:drawing>
      </w:r>
    </w:p>
    <w:p w14:paraId="53B9BF6F" w14:textId="027A16A5" w:rsidR="00C75A27" w:rsidRDefault="00D4093E">
      <w:pPr>
        <w:spacing w:before="160"/>
        <w:jc w:val="center"/>
      </w:pPr>
      <w:r>
        <w:rPr>
          <w:noProof/>
        </w:rPr>
        <w:drawing>
          <wp:inline distT="0" distB="0" distL="0" distR="0" wp14:anchorId="745EF67A" wp14:editId="7A229F7A">
            <wp:extent cx="4320000" cy="2710708"/>
            <wp:effectExtent l="0" t="0" r="0" b="0"/>
            <wp:docPr id="2110891810" name="Imagen 211089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6.png"/>
                    <pic:cNvPicPr/>
                  </pic:nvPicPr>
                  <pic:blipFill>
                    <a:blip r:embed="rId60"/>
                    <a:stretch>
                      <a:fillRect/>
                    </a:stretch>
                  </pic:blipFill>
                  <pic:spPr>
                    <a:xfrm>
                      <a:off x="0" y="0"/>
                      <a:ext cx="4320000" cy="2710708"/>
                    </a:xfrm>
                    <a:prstGeom prst="rect">
                      <a:avLst/>
                    </a:prstGeom>
                  </pic:spPr>
                </pic:pic>
              </a:graphicData>
            </a:graphic>
          </wp:inline>
        </w:drawing>
      </w:r>
    </w:p>
    <w:p w14:paraId="3ED758CE" w14:textId="20C37802" w:rsidR="00A37447" w:rsidRDefault="00A37447">
      <w:pPr>
        <w:spacing w:before="160"/>
        <w:jc w:val="center"/>
      </w:pPr>
      <w:r>
        <w:rPr>
          <w:noProof/>
        </w:rPr>
        <w:lastRenderedPageBreak/>
        <w:drawing>
          <wp:inline distT="0" distB="0" distL="0" distR="0" wp14:anchorId="1D4D0096" wp14:editId="2E1C384F">
            <wp:extent cx="4320000" cy="2710708"/>
            <wp:effectExtent l="0" t="0" r="0" b="0"/>
            <wp:docPr id="2110891811" name="Imagen 211089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7.png"/>
                    <pic:cNvPicPr/>
                  </pic:nvPicPr>
                  <pic:blipFill>
                    <a:blip r:embed="rId61"/>
                    <a:stretch>
                      <a:fillRect/>
                    </a:stretch>
                  </pic:blipFill>
                  <pic:spPr>
                    <a:xfrm>
                      <a:off x="0" y="0"/>
                      <a:ext cx="4320000" cy="2710708"/>
                    </a:xfrm>
                    <a:prstGeom prst="rect">
                      <a:avLst/>
                    </a:prstGeom>
                  </pic:spPr>
                </pic:pic>
              </a:graphicData>
            </a:graphic>
          </wp:inline>
        </w:drawing>
      </w:r>
    </w:p>
    <w:p w14:paraId="6F0EF4ED" w14:textId="60A2070D" w:rsidR="00A37447" w:rsidRPr="0036111A" w:rsidRDefault="00A37447">
      <w:pPr>
        <w:keepLines/>
        <w:rPr>
          <w:lang w:val="es-PE"/>
        </w:rPr>
      </w:pPr>
      <w:r w:rsidRPr="0036111A">
        <w:rPr>
          <w:lang w:val="es-PE"/>
        </w:rPr>
        <w:t xml:space="preserve">Las ventas de Cálidda crecieron ligeramente en 2025, </w:t>
      </w:r>
      <w:r>
        <w:rPr>
          <w:lang w:val="es-PE"/>
        </w:rPr>
        <w:t xml:space="preserve">pues alcanzaron </w:t>
      </w:r>
      <w:r w:rsidRPr="0036111A">
        <w:rPr>
          <w:lang w:val="es-PE"/>
        </w:rPr>
        <w:t xml:space="preserve">809 MMpcd, un incremento de 1 % respecto a los 800 MMpcd de 2024. Este resultado estuvo impulsado por el segmento residencial y comercial, que creció 11 % hasta los 36 MMpcd, y por el vehicular, que avanzó 5 % hasta los 80 MMpcd, en línea con el aumento de la flota activa a GNV en Lima y Callao. En contraste, la generación eléctrica </w:t>
      </w:r>
      <w:r>
        <w:rPr>
          <w:lang w:val="es-PE"/>
        </w:rPr>
        <w:t>–</w:t>
      </w:r>
      <w:r w:rsidRPr="0036111A">
        <w:rPr>
          <w:lang w:val="es-PE"/>
        </w:rPr>
        <w:t>segmento que concentra el grueso del volumen con 551 MMpcd</w:t>
      </w:r>
      <w:r>
        <w:rPr>
          <w:lang w:val="es-PE"/>
        </w:rPr>
        <w:t>–</w:t>
      </w:r>
      <w:r w:rsidRPr="0036111A">
        <w:rPr>
          <w:lang w:val="es-PE"/>
        </w:rPr>
        <w:t xml:space="preserve"> se mantuvo estable, y el industrial creció moderadamente 3 %, hasta los 143 MMpcd. El resultado global refleja una concesión que consolida su crecimiento estructural en los segmentos vinculados a la masificación, mientras el comportamiento de la generación eléctrica modera el avance agregado.</w:t>
      </w:r>
    </w:p>
    <w:p w14:paraId="2BD7242E" w14:textId="77777777" w:rsidR="00A37447" w:rsidRDefault="00A37447">
      <w:pPr>
        <w:keepNext/>
        <w:rPr>
          <w:lang w:val="es-PE"/>
        </w:rPr>
      </w:pPr>
    </w:p>
    <w:p w14:paraId="7793CAC1" w14:textId="77777777" w:rsidR="00A37447" w:rsidRPr="0036111A" w:rsidRDefault="00A37447">
      <w:pPr>
        <w:keepNext/>
        <w:keepLines/>
        <w:spacing w:before="160" w:after="20"/>
        <w:rPr>
          <w:lang w:val="es-PE"/>
        </w:rPr>
      </w:pPr>
      <w:r w:rsidRPr="0036111A">
        <w:rPr>
          <w:b/>
          <w:color w:val="00838F"/>
          <w:sz w:val="20"/>
          <w:lang w:val="es-PE"/>
        </w:rPr>
        <w:t>CÁLIDDA: VENTAS POR SEGMENTO</w:t>
      </w:r>
    </w:p>
    <w:p w14:paraId="7BD64A57" w14:textId="77777777" w:rsidR="00A37447" w:rsidRPr="0036111A" w:rsidRDefault="00A37447">
      <w:pPr>
        <w:keepNext/>
        <w:keepLines/>
        <w:spacing w:after="60"/>
        <w:rPr>
          <w:lang w:val="es-PE"/>
        </w:rPr>
      </w:pPr>
      <w:r w:rsidRPr="0036111A">
        <w:rPr>
          <w:i/>
          <w:sz w:val="17"/>
          <w:lang w:val="es-PE"/>
        </w:rPr>
        <w:t>Millones de pies cúbicos diarios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2792535D" w14:textId="77777777">
        <w:trPr>
          <w:cantSplit/>
          <w:tblHeader/>
        </w:trPr>
        <w:tc>
          <w:tcPr>
            <w:tcW w:w="1063" w:type="dxa"/>
            <w:shd w:val="clear" w:color="auto" w:fill="1F3864"/>
          </w:tcPr>
          <w:p w14:paraId="66EEF21A" w14:textId="77777777" w:rsidR="00A37447" w:rsidRDefault="00A37447">
            <w:pPr>
              <w:keepNext/>
            </w:pPr>
            <w:r>
              <w:rPr>
                <w:b/>
                <w:color w:val="FFFFFF"/>
                <w:sz w:val="17"/>
              </w:rPr>
              <w:t>Sector</w:t>
            </w:r>
          </w:p>
        </w:tc>
        <w:tc>
          <w:tcPr>
            <w:tcW w:w="1063" w:type="dxa"/>
            <w:shd w:val="clear" w:color="auto" w:fill="1F3864"/>
            <w:noWrap/>
          </w:tcPr>
          <w:p w14:paraId="77CAAB14" w14:textId="77777777" w:rsidR="00A37447" w:rsidRDefault="00A37447">
            <w:pPr>
              <w:keepNext/>
              <w:jc w:val="right"/>
            </w:pPr>
            <w:r>
              <w:rPr>
                <w:b/>
                <w:color w:val="FFFFFF"/>
                <w:sz w:val="17"/>
              </w:rPr>
              <w:t>2021</w:t>
            </w:r>
          </w:p>
        </w:tc>
        <w:tc>
          <w:tcPr>
            <w:tcW w:w="1063" w:type="dxa"/>
            <w:shd w:val="clear" w:color="auto" w:fill="1F3864"/>
            <w:noWrap/>
          </w:tcPr>
          <w:p w14:paraId="35122417" w14:textId="77777777" w:rsidR="00A37447" w:rsidRDefault="00A37447">
            <w:pPr>
              <w:keepNext/>
              <w:jc w:val="right"/>
            </w:pPr>
            <w:r>
              <w:rPr>
                <w:b/>
                <w:color w:val="FFFFFF"/>
                <w:sz w:val="17"/>
              </w:rPr>
              <w:t>2022</w:t>
            </w:r>
          </w:p>
        </w:tc>
        <w:tc>
          <w:tcPr>
            <w:tcW w:w="1063" w:type="dxa"/>
            <w:shd w:val="clear" w:color="auto" w:fill="1F3864"/>
            <w:noWrap/>
          </w:tcPr>
          <w:p w14:paraId="13FF49B8" w14:textId="77777777" w:rsidR="00A37447" w:rsidRDefault="00A37447">
            <w:pPr>
              <w:keepNext/>
              <w:jc w:val="right"/>
            </w:pPr>
            <w:r>
              <w:rPr>
                <w:b/>
                <w:color w:val="FFFFFF"/>
                <w:sz w:val="17"/>
              </w:rPr>
              <w:t>2023</w:t>
            </w:r>
          </w:p>
        </w:tc>
        <w:tc>
          <w:tcPr>
            <w:tcW w:w="1063" w:type="dxa"/>
            <w:shd w:val="clear" w:color="auto" w:fill="1F3864"/>
            <w:noWrap/>
          </w:tcPr>
          <w:p w14:paraId="43BBD6A2" w14:textId="77777777" w:rsidR="00A37447" w:rsidRDefault="00A37447">
            <w:pPr>
              <w:keepNext/>
              <w:jc w:val="right"/>
            </w:pPr>
            <w:r>
              <w:rPr>
                <w:b/>
                <w:color w:val="FFFFFF"/>
                <w:sz w:val="17"/>
              </w:rPr>
              <w:t>2024</w:t>
            </w:r>
          </w:p>
        </w:tc>
        <w:tc>
          <w:tcPr>
            <w:tcW w:w="1063" w:type="dxa"/>
            <w:shd w:val="clear" w:color="auto" w:fill="1F3864"/>
            <w:noWrap/>
          </w:tcPr>
          <w:p w14:paraId="1825E6EF" w14:textId="77777777" w:rsidR="00A37447" w:rsidRDefault="00A37447">
            <w:pPr>
              <w:keepNext/>
              <w:jc w:val="right"/>
            </w:pPr>
            <w:r>
              <w:rPr>
                <w:b/>
                <w:color w:val="FFFFFF"/>
                <w:sz w:val="17"/>
              </w:rPr>
              <w:t>2025</w:t>
            </w:r>
          </w:p>
        </w:tc>
        <w:tc>
          <w:tcPr>
            <w:tcW w:w="1063" w:type="dxa"/>
            <w:shd w:val="clear" w:color="auto" w:fill="1F3864"/>
          </w:tcPr>
          <w:p w14:paraId="01192FC0" w14:textId="77777777" w:rsidR="00A37447" w:rsidRDefault="00A37447">
            <w:pPr>
              <w:keepNext/>
              <w:jc w:val="right"/>
            </w:pPr>
            <w:r>
              <w:rPr>
                <w:b/>
                <w:color w:val="FFFFFF"/>
                <w:sz w:val="17"/>
              </w:rPr>
              <w:t>Var. % 2025 vs 2024</w:t>
            </w:r>
          </w:p>
        </w:tc>
        <w:tc>
          <w:tcPr>
            <w:tcW w:w="1063" w:type="dxa"/>
            <w:shd w:val="clear" w:color="auto" w:fill="1F3864"/>
          </w:tcPr>
          <w:p w14:paraId="3E4992D2" w14:textId="77777777" w:rsidR="00A37447" w:rsidRDefault="00A37447">
            <w:pPr>
              <w:keepNext/>
              <w:jc w:val="right"/>
            </w:pPr>
            <w:r>
              <w:rPr>
                <w:b/>
                <w:color w:val="FFFFFF"/>
                <w:sz w:val="17"/>
              </w:rPr>
              <w:t>TACC 2021-2025</w:t>
            </w:r>
          </w:p>
        </w:tc>
      </w:tr>
      <w:tr w:rsidR="00855697" w14:paraId="011D6CA5" w14:textId="77777777">
        <w:trPr>
          <w:cantSplit/>
        </w:trPr>
        <w:tc>
          <w:tcPr>
            <w:tcW w:w="1063" w:type="dxa"/>
          </w:tcPr>
          <w:p w14:paraId="3394EA42" w14:textId="77777777" w:rsidR="00A37447" w:rsidRDefault="00A37447">
            <w:pPr>
              <w:keepNext/>
              <w:spacing w:after="20"/>
            </w:pPr>
            <w:r>
              <w:rPr>
                <w:sz w:val="17"/>
              </w:rPr>
              <w:t>Generación eléctrica</w:t>
            </w:r>
          </w:p>
        </w:tc>
        <w:tc>
          <w:tcPr>
            <w:tcW w:w="1063" w:type="dxa"/>
            <w:noWrap/>
          </w:tcPr>
          <w:p w14:paraId="72EBA6C9" w14:textId="77777777" w:rsidR="00A37447" w:rsidRDefault="00A37447">
            <w:pPr>
              <w:keepNext/>
              <w:spacing w:after="20"/>
              <w:jc w:val="right"/>
            </w:pPr>
            <w:r>
              <w:rPr>
                <w:sz w:val="16"/>
              </w:rPr>
              <w:t>531</w:t>
            </w:r>
          </w:p>
        </w:tc>
        <w:tc>
          <w:tcPr>
            <w:tcW w:w="1063" w:type="dxa"/>
            <w:noWrap/>
          </w:tcPr>
          <w:p w14:paraId="556A71CB" w14:textId="77777777" w:rsidR="00A37447" w:rsidRDefault="00A37447">
            <w:pPr>
              <w:keepNext/>
              <w:spacing w:after="20"/>
              <w:jc w:val="right"/>
            </w:pPr>
            <w:r>
              <w:rPr>
                <w:sz w:val="16"/>
              </w:rPr>
              <w:t>537</w:t>
            </w:r>
          </w:p>
        </w:tc>
        <w:tc>
          <w:tcPr>
            <w:tcW w:w="1063" w:type="dxa"/>
            <w:noWrap/>
          </w:tcPr>
          <w:p w14:paraId="6F9C4D7D" w14:textId="77777777" w:rsidR="00A37447" w:rsidRDefault="00A37447">
            <w:pPr>
              <w:keepNext/>
              <w:spacing w:after="20"/>
              <w:jc w:val="right"/>
            </w:pPr>
            <w:r>
              <w:rPr>
                <w:sz w:val="16"/>
              </w:rPr>
              <w:t>582</w:t>
            </w:r>
          </w:p>
        </w:tc>
        <w:tc>
          <w:tcPr>
            <w:tcW w:w="1063" w:type="dxa"/>
            <w:noWrap/>
          </w:tcPr>
          <w:p w14:paraId="5A559EF5" w14:textId="77777777" w:rsidR="00A37447" w:rsidRDefault="00A37447">
            <w:pPr>
              <w:keepNext/>
              <w:spacing w:after="20"/>
              <w:jc w:val="right"/>
            </w:pPr>
            <w:r>
              <w:rPr>
                <w:sz w:val="16"/>
              </w:rPr>
              <w:t>553</w:t>
            </w:r>
          </w:p>
        </w:tc>
        <w:tc>
          <w:tcPr>
            <w:tcW w:w="1063" w:type="dxa"/>
            <w:noWrap/>
          </w:tcPr>
          <w:p w14:paraId="21C0023C" w14:textId="77777777" w:rsidR="00A37447" w:rsidRDefault="00A37447">
            <w:pPr>
              <w:keepNext/>
              <w:spacing w:after="20"/>
              <w:jc w:val="right"/>
            </w:pPr>
            <w:r>
              <w:rPr>
                <w:sz w:val="16"/>
              </w:rPr>
              <w:t>551</w:t>
            </w:r>
          </w:p>
        </w:tc>
        <w:tc>
          <w:tcPr>
            <w:tcW w:w="1063" w:type="dxa"/>
            <w:noWrap/>
          </w:tcPr>
          <w:p w14:paraId="5E227A7B" w14:textId="77777777" w:rsidR="00A37447" w:rsidRDefault="00A37447">
            <w:pPr>
              <w:keepNext/>
              <w:spacing w:after="20"/>
              <w:jc w:val="right"/>
            </w:pPr>
            <w:r>
              <w:rPr>
                <w:sz w:val="16"/>
              </w:rPr>
              <w:t>-0,4 %</w:t>
            </w:r>
          </w:p>
        </w:tc>
        <w:tc>
          <w:tcPr>
            <w:tcW w:w="1063" w:type="dxa"/>
            <w:noWrap/>
          </w:tcPr>
          <w:p w14:paraId="6BC1B3D9" w14:textId="77777777" w:rsidR="00A37447" w:rsidRDefault="00A37447">
            <w:pPr>
              <w:keepNext/>
              <w:spacing w:after="20"/>
              <w:jc w:val="right"/>
            </w:pPr>
            <w:r>
              <w:rPr>
                <w:sz w:val="16"/>
              </w:rPr>
              <w:t>0,9 %</w:t>
            </w:r>
          </w:p>
        </w:tc>
      </w:tr>
      <w:tr w:rsidR="00855697" w14:paraId="1DC1A366" w14:textId="77777777">
        <w:trPr>
          <w:cantSplit/>
        </w:trPr>
        <w:tc>
          <w:tcPr>
            <w:tcW w:w="1063" w:type="dxa"/>
            <w:noWrap/>
          </w:tcPr>
          <w:p w14:paraId="60DD9D21" w14:textId="77777777" w:rsidR="00A37447" w:rsidRDefault="00A37447">
            <w:pPr>
              <w:keepNext/>
              <w:spacing w:after="20"/>
            </w:pPr>
            <w:r>
              <w:rPr>
                <w:sz w:val="17"/>
              </w:rPr>
              <w:t>Industrial</w:t>
            </w:r>
          </w:p>
        </w:tc>
        <w:tc>
          <w:tcPr>
            <w:tcW w:w="1063" w:type="dxa"/>
            <w:noWrap/>
          </w:tcPr>
          <w:p w14:paraId="30E1D4C1" w14:textId="77777777" w:rsidR="00A37447" w:rsidRDefault="00A37447">
            <w:pPr>
              <w:keepNext/>
              <w:spacing w:after="20"/>
              <w:jc w:val="right"/>
            </w:pPr>
            <w:r>
              <w:rPr>
                <w:sz w:val="16"/>
              </w:rPr>
              <w:t>141</w:t>
            </w:r>
          </w:p>
        </w:tc>
        <w:tc>
          <w:tcPr>
            <w:tcW w:w="1063" w:type="dxa"/>
            <w:noWrap/>
          </w:tcPr>
          <w:p w14:paraId="62ABC647" w14:textId="77777777" w:rsidR="00A37447" w:rsidRDefault="00A37447">
            <w:pPr>
              <w:keepNext/>
              <w:spacing w:after="20"/>
              <w:jc w:val="right"/>
            </w:pPr>
            <w:r>
              <w:rPr>
                <w:sz w:val="16"/>
              </w:rPr>
              <w:t>143</w:t>
            </w:r>
          </w:p>
        </w:tc>
        <w:tc>
          <w:tcPr>
            <w:tcW w:w="1063" w:type="dxa"/>
            <w:noWrap/>
          </w:tcPr>
          <w:p w14:paraId="72E28DA6" w14:textId="77777777" w:rsidR="00A37447" w:rsidRDefault="00A37447">
            <w:pPr>
              <w:keepNext/>
              <w:spacing w:after="20"/>
              <w:jc w:val="right"/>
            </w:pPr>
            <w:r>
              <w:rPr>
                <w:sz w:val="16"/>
              </w:rPr>
              <w:t>136</w:t>
            </w:r>
          </w:p>
        </w:tc>
        <w:tc>
          <w:tcPr>
            <w:tcW w:w="1063" w:type="dxa"/>
            <w:noWrap/>
          </w:tcPr>
          <w:p w14:paraId="7860FCCE" w14:textId="77777777" w:rsidR="00A37447" w:rsidRDefault="00A37447">
            <w:pPr>
              <w:keepNext/>
              <w:spacing w:after="20"/>
              <w:jc w:val="right"/>
            </w:pPr>
            <w:r>
              <w:rPr>
                <w:sz w:val="16"/>
              </w:rPr>
              <w:t>138</w:t>
            </w:r>
          </w:p>
        </w:tc>
        <w:tc>
          <w:tcPr>
            <w:tcW w:w="1063" w:type="dxa"/>
            <w:noWrap/>
          </w:tcPr>
          <w:p w14:paraId="3BCF736E" w14:textId="77777777" w:rsidR="00A37447" w:rsidRDefault="00A37447">
            <w:pPr>
              <w:keepNext/>
              <w:spacing w:after="20"/>
              <w:jc w:val="right"/>
            </w:pPr>
            <w:r>
              <w:rPr>
                <w:sz w:val="16"/>
              </w:rPr>
              <w:t>143</w:t>
            </w:r>
          </w:p>
        </w:tc>
        <w:tc>
          <w:tcPr>
            <w:tcW w:w="1063" w:type="dxa"/>
            <w:noWrap/>
          </w:tcPr>
          <w:p w14:paraId="208C21E6" w14:textId="77777777" w:rsidR="00A37447" w:rsidRDefault="00A37447">
            <w:pPr>
              <w:keepNext/>
              <w:spacing w:after="20"/>
              <w:jc w:val="right"/>
            </w:pPr>
            <w:r>
              <w:rPr>
                <w:sz w:val="16"/>
              </w:rPr>
              <w:t>3,4 %</w:t>
            </w:r>
          </w:p>
        </w:tc>
        <w:tc>
          <w:tcPr>
            <w:tcW w:w="1063" w:type="dxa"/>
            <w:noWrap/>
          </w:tcPr>
          <w:p w14:paraId="3AFD2D5A" w14:textId="77777777" w:rsidR="00A37447" w:rsidRDefault="00A37447">
            <w:pPr>
              <w:keepNext/>
              <w:spacing w:after="20"/>
              <w:jc w:val="right"/>
            </w:pPr>
            <w:r>
              <w:rPr>
                <w:sz w:val="16"/>
              </w:rPr>
              <w:t>0,4 %</w:t>
            </w:r>
          </w:p>
        </w:tc>
      </w:tr>
      <w:tr w:rsidR="00855697" w14:paraId="25BF4751" w14:textId="77777777">
        <w:trPr>
          <w:cantSplit/>
        </w:trPr>
        <w:tc>
          <w:tcPr>
            <w:tcW w:w="1063" w:type="dxa"/>
          </w:tcPr>
          <w:p w14:paraId="28A64165" w14:textId="77777777" w:rsidR="00A37447" w:rsidRPr="0036111A" w:rsidRDefault="00A37447">
            <w:pPr>
              <w:keepNext/>
              <w:spacing w:after="20"/>
              <w:rPr>
                <w:lang w:val="es-PE"/>
              </w:rPr>
            </w:pPr>
            <w:r w:rsidRPr="0036111A">
              <w:rPr>
                <w:sz w:val="17"/>
                <w:lang w:val="es-PE"/>
              </w:rPr>
              <w:t>Estaciones de servicio de GNV</w:t>
            </w:r>
          </w:p>
        </w:tc>
        <w:tc>
          <w:tcPr>
            <w:tcW w:w="1063" w:type="dxa"/>
            <w:noWrap/>
          </w:tcPr>
          <w:p w14:paraId="0D278228" w14:textId="77777777" w:rsidR="00A37447" w:rsidRDefault="00A37447">
            <w:pPr>
              <w:keepNext/>
              <w:spacing w:after="20"/>
              <w:jc w:val="right"/>
            </w:pPr>
            <w:r>
              <w:rPr>
                <w:sz w:val="16"/>
              </w:rPr>
              <w:t>51,6</w:t>
            </w:r>
          </w:p>
        </w:tc>
        <w:tc>
          <w:tcPr>
            <w:tcW w:w="1063" w:type="dxa"/>
            <w:noWrap/>
          </w:tcPr>
          <w:p w14:paraId="3FB8F06E" w14:textId="77777777" w:rsidR="00A37447" w:rsidRDefault="00A37447">
            <w:pPr>
              <w:keepNext/>
              <w:spacing w:after="20"/>
              <w:jc w:val="right"/>
            </w:pPr>
            <w:r>
              <w:rPr>
                <w:sz w:val="16"/>
              </w:rPr>
              <w:t>63,1</w:t>
            </w:r>
          </w:p>
        </w:tc>
        <w:tc>
          <w:tcPr>
            <w:tcW w:w="1063" w:type="dxa"/>
            <w:noWrap/>
          </w:tcPr>
          <w:p w14:paraId="34EC72C5" w14:textId="77777777" w:rsidR="00A37447" w:rsidRDefault="00A37447">
            <w:pPr>
              <w:keepNext/>
              <w:spacing w:after="20"/>
              <w:jc w:val="right"/>
            </w:pPr>
            <w:r>
              <w:rPr>
                <w:sz w:val="16"/>
              </w:rPr>
              <w:t>70,6</w:t>
            </w:r>
          </w:p>
        </w:tc>
        <w:tc>
          <w:tcPr>
            <w:tcW w:w="1063" w:type="dxa"/>
            <w:noWrap/>
          </w:tcPr>
          <w:p w14:paraId="6DFBBBFE" w14:textId="77777777" w:rsidR="00A37447" w:rsidRDefault="00A37447">
            <w:pPr>
              <w:keepNext/>
              <w:spacing w:after="20"/>
              <w:jc w:val="right"/>
            </w:pPr>
            <w:r>
              <w:rPr>
                <w:sz w:val="16"/>
              </w:rPr>
              <w:t>76,1</w:t>
            </w:r>
          </w:p>
        </w:tc>
        <w:tc>
          <w:tcPr>
            <w:tcW w:w="1063" w:type="dxa"/>
            <w:noWrap/>
          </w:tcPr>
          <w:p w14:paraId="6D67E39A" w14:textId="77777777" w:rsidR="00A37447" w:rsidRDefault="00A37447">
            <w:pPr>
              <w:keepNext/>
              <w:spacing w:after="20"/>
              <w:jc w:val="right"/>
            </w:pPr>
            <w:r>
              <w:rPr>
                <w:sz w:val="16"/>
              </w:rPr>
              <w:t>79,5</w:t>
            </w:r>
          </w:p>
        </w:tc>
        <w:tc>
          <w:tcPr>
            <w:tcW w:w="1063" w:type="dxa"/>
            <w:noWrap/>
          </w:tcPr>
          <w:p w14:paraId="45936D2D" w14:textId="77777777" w:rsidR="00A37447" w:rsidRDefault="00A37447">
            <w:pPr>
              <w:keepNext/>
              <w:spacing w:after="20"/>
              <w:jc w:val="right"/>
            </w:pPr>
            <w:r>
              <w:rPr>
                <w:sz w:val="16"/>
              </w:rPr>
              <w:t>4,5 %</w:t>
            </w:r>
          </w:p>
        </w:tc>
        <w:tc>
          <w:tcPr>
            <w:tcW w:w="1063" w:type="dxa"/>
            <w:noWrap/>
          </w:tcPr>
          <w:p w14:paraId="43D03648" w14:textId="77777777" w:rsidR="00A37447" w:rsidRDefault="00A37447">
            <w:pPr>
              <w:keepNext/>
              <w:spacing w:after="20"/>
              <w:jc w:val="right"/>
            </w:pPr>
            <w:r>
              <w:rPr>
                <w:sz w:val="16"/>
              </w:rPr>
              <w:t>11,4 %</w:t>
            </w:r>
          </w:p>
        </w:tc>
      </w:tr>
      <w:tr w:rsidR="00855697" w14:paraId="708858BC" w14:textId="77777777">
        <w:trPr>
          <w:cantSplit/>
        </w:trPr>
        <w:tc>
          <w:tcPr>
            <w:tcW w:w="1063" w:type="dxa"/>
          </w:tcPr>
          <w:p w14:paraId="361FBC21" w14:textId="77777777" w:rsidR="00A37447" w:rsidRDefault="00A37447">
            <w:pPr>
              <w:keepNext/>
              <w:spacing w:after="20"/>
            </w:pPr>
            <w:r>
              <w:rPr>
                <w:sz w:val="17"/>
              </w:rPr>
              <w:t>Residencial y comercial</w:t>
            </w:r>
          </w:p>
        </w:tc>
        <w:tc>
          <w:tcPr>
            <w:tcW w:w="1063" w:type="dxa"/>
            <w:noWrap/>
          </w:tcPr>
          <w:p w14:paraId="7A80FF53" w14:textId="77777777" w:rsidR="00A37447" w:rsidRDefault="00A37447">
            <w:pPr>
              <w:keepNext/>
              <w:spacing w:after="20"/>
              <w:jc w:val="right"/>
            </w:pPr>
            <w:r>
              <w:rPr>
                <w:sz w:val="16"/>
              </w:rPr>
              <w:t>21,8</w:t>
            </w:r>
          </w:p>
        </w:tc>
        <w:tc>
          <w:tcPr>
            <w:tcW w:w="1063" w:type="dxa"/>
            <w:noWrap/>
          </w:tcPr>
          <w:p w14:paraId="41CFFBFA" w14:textId="77777777" w:rsidR="00A37447" w:rsidRDefault="00A37447">
            <w:pPr>
              <w:keepNext/>
              <w:spacing w:after="20"/>
              <w:jc w:val="right"/>
            </w:pPr>
            <w:r>
              <w:rPr>
                <w:sz w:val="16"/>
              </w:rPr>
              <w:t>25,2</w:t>
            </w:r>
          </w:p>
        </w:tc>
        <w:tc>
          <w:tcPr>
            <w:tcW w:w="1063" w:type="dxa"/>
            <w:noWrap/>
          </w:tcPr>
          <w:p w14:paraId="63028427" w14:textId="77777777" w:rsidR="00A37447" w:rsidRDefault="00A37447">
            <w:pPr>
              <w:keepNext/>
              <w:spacing w:after="20"/>
              <w:jc w:val="right"/>
            </w:pPr>
            <w:r>
              <w:rPr>
                <w:sz w:val="16"/>
              </w:rPr>
              <w:t>28,8</w:t>
            </w:r>
          </w:p>
        </w:tc>
        <w:tc>
          <w:tcPr>
            <w:tcW w:w="1063" w:type="dxa"/>
            <w:noWrap/>
          </w:tcPr>
          <w:p w14:paraId="7294C04E" w14:textId="77777777" w:rsidR="00A37447" w:rsidRDefault="00A37447">
            <w:pPr>
              <w:keepNext/>
              <w:spacing w:after="20"/>
              <w:jc w:val="right"/>
            </w:pPr>
            <w:r>
              <w:rPr>
                <w:sz w:val="16"/>
              </w:rPr>
              <w:t>32,2</w:t>
            </w:r>
          </w:p>
        </w:tc>
        <w:tc>
          <w:tcPr>
            <w:tcW w:w="1063" w:type="dxa"/>
            <w:noWrap/>
          </w:tcPr>
          <w:p w14:paraId="4FA25F01" w14:textId="77777777" w:rsidR="00A37447" w:rsidRDefault="00A37447">
            <w:pPr>
              <w:keepNext/>
              <w:spacing w:after="20"/>
              <w:jc w:val="right"/>
            </w:pPr>
            <w:r>
              <w:rPr>
                <w:sz w:val="16"/>
              </w:rPr>
              <w:t>35,6</w:t>
            </w:r>
          </w:p>
        </w:tc>
        <w:tc>
          <w:tcPr>
            <w:tcW w:w="1063" w:type="dxa"/>
            <w:noWrap/>
          </w:tcPr>
          <w:p w14:paraId="23238E25" w14:textId="77777777" w:rsidR="00A37447" w:rsidRDefault="00A37447">
            <w:pPr>
              <w:keepNext/>
              <w:spacing w:after="20"/>
              <w:jc w:val="right"/>
            </w:pPr>
            <w:r>
              <w:rPr>
                <w:sz w:val="16"/>
              </w:rPr>
              <w:t>10,6 %</w:t>
            </w:r>
          </w:p>
        </w:tc>
        <w:tc>
          <w:tcPr>
            <w:tcW w:w="1063" w:type="dxa"/>
            <w:noWrap/>
          </w:tcPr>
          <w:p w14:paraId="2610E0AF" w14:textId="77777777" w:rsidR="00A37447" w:rsidRDefault="00A37447">
            <w:pPr>
              <w:keepNext/>
              <w:spacing w:after="20"/>
              <w:jc w:val="right"/>
            </w:pPr>
            <w:r>
              <w:rPr>
                <w:sz w:val="16"/>
              </w:rPr>
              <w:t>13,0 %</w:t>
            </w:r>
          </w:p>
        </w:tc>
      </w:tr>
      <w:tr w:rsidR="00855697" w14:paraId="6B1109EC" w14:textId="77777777">
        <w:trPr>
          <w:cantSplit/>
        </w:trPr>
        <w:tc>
          <w:tcPr>
            <w:tcW w:w="1063" w:type="dxa"/>
            <w:noWrap/>
          </w:tcPr>
          <w:p w14:paraId="39C12938" w14:textId="77777777" w:rsidR="00A37447" w:rsidRDefault="00A37447">
            <w:pPr>
              <w:keepNext/>
              <w:spacing w:after="20"/>
            </w:pPr>
            <w:r>
              <w:rPr>
                <w:b/>
                <w:sz w:val="17"/>
              </w:rPr>
              <w:t>Total</w:t>
            </w:r>
          </w:p>
        </w:tc>
        <w:tc>
          <w:tcPr>
            <w:tcW w:w="1063" w:type="dxa"/>
            <w:noWrap/>
          </w:tcPr>
          <w:p w14:paraId="42572C2D" w14:textId="77777777" w:rsidR="00A37447" w:rsidRDefault="00A37447">
            <w:pPr>
              <w:keepNext/>
              <w:spacing w:after="20"/>
              <w:jc w:val="right"/>
            </w:pPr>
            <w:r>
              <w:rPr>
                <w:sz w:val="16"/>
              </w:rPr>
              <w:t>745</w:t>
            </w:r>
          </w:p>
        </w:tc>
        <w:tc>
          <w:tcPr>
            <w:tcW w:w="1063" w:type="dxa"/>
            <w:noWrap/>
          </w:tcPr>
          <w:p w14:paraId="2546843B" w14:textId="77777777" w:rsidR="00A37447" w:rsidRDefault="00A37447">
            <w:pPr>
              <w:keepNext/>
              <w:spacing w:after="20"/>
              <w:jc w:val="right"/>
            </w:pPr>
            <w:r>
              <w:rPr>
                <w:sz w:val="16"/>
              </w:rPr>
              <w:t>769</w:t>
            </w:r>
          </w:p>
        </w:tc>
        <w:tc>
          <w:tcPr>
            <w:tcW w:w="1063" w:type="dxa"/>
            <w:noWrap/>
          </w:tcPr>
          <w:p w14:paraId="1D4B82A8" w14:textId="77777777" w:rsidR="00A37447" w:rsidRDefault="00A37447">
            <w:pPr>
              <w:keepNext/>
              <w:spacing w:after="20"/>
              <w:jc w:val="right"/>
            </w:pPr>
            <w:r>
              <w:rPr>
                <w:sz w:val="16"/>
              </w:rPr>
              <w:t>818</w:t>
            </w:r>
          </w:p>
        </w:tc>
        <w:tc>
          <w:tcPr>
            <w:tcW w:w="1063" w:type="dxa"/>
            <w:noWrap/>
          </w:tcPr>
          <w:p w14:paraId="74E03BD9" w14:textId="77777777" w:rsidR="00A37447" w:rsidRDefault="00A37447">
            <w:pPr>
              <w:keepNext/>
              <w:spacing w:after="20"/>
              <w:jc w:val="right"/>
            </w:pPr>
            <w:r>
              <w:rPr>
                <w:sz w:val="16"/>
              </w:rPr>
              <w:t>800</w:t>
            </w:r>
          </w:p>
        </w:tc>
        <w:tc>
          <w:tcPr>
            <w:tcW w:w="1063" w:type="dxa"/>
            <w:noWrap/>
          </w:tcPr>
          <w:p w14:paraId="5964E559" w14:textId="77777777" w:rsidR="00A37447" w:rsidRDefault="00A37447">
            <w:pPr>
              <w:keepNext/>
              <w:spacing w:after="20"/>
              <w:jc w:val="right"/>
            </w:pPr>
            <w:r>
              <w:rPr>
                <w:sz w:val="16"/>
              </w:rPr>
              <w:t>809</w:t>
            </w:r>
          </w:p>
        </w:tc>
        <w:tc>
          <w:tcPr>
            <w:tcW w:w="1063" w:type="dxa"/>
            <w:noWrap/>
          </w:tcPr>
          <w:p w14:paraId="0EBF685E" w14:textId="77777777" w:rsidR="00A37447" w:rsidRDefault="00A37447">
            <w:pPr>
              <w:keepNext/>
              <w:spacing w:after="20"/>
              <w:jc w:val="right"/>
            </w:pPr>
            <w:r>
              <w:rPr>
                <w:sz w:val="16"/>
              </w:rPr>
              <w:t>1,1 %</w:t>
            </w:r>
          </w:p>
        </w:tc>
        <w:tc>
          <w:tcPr>
            <w:tcW w:w="1063" w:type="dxa"/>
            <w:noWrap/>
          </w:tcPr>
          <w:p w14:paraId="60139A3D" w14:textId="77777777" w:rsidR="00A37447" w:rsidRDefault="00A37447">
            <w:pPr>
              <w:keepNext/>
              <w:spacing w:after="20"/>
              <w:jc w:val="right"/>
            </w:pPr>
            <w:r>
              <w:rPr>
                <w:sz w:val="16"/>
              </w:rPr>
              <w:t>2,1 %</w:t>
            </w:r>
          </w:p>
        </w:tc>
      </w:tr>
    </w:tbl>
    <w:p w14:paraId="07B694EE" w14:textId="77777777" w:rsidR="00A37447" w:rsidRDefault="00A37447">
      <w:pPr>
        <w:keepNext/>
        <w:keepLines/>
        <w:spacing w:before="40"/>
        <w:jc w:val="right"/>
      </w:pPr>
      <w:r>
        <w:rPr>
          <w:b/>
          <w:color w:val="404040"/>
          <w:sz w:val="15"/>
        </w:rPr>
        <w:t>FUENTE: Cálidda</w:t>
      </w:r>
    </w:p>
    <w:p w14:paraId="027C1B0C" w14:textId="77777777" w:rsidR="00A37447" w:rsidRDefault="00A37447">
      <w:pPr>
        <w:keepNext/>
      </w:pPr>
    </w:p>
    <w:p w14:paraId="6E2651C1" w14:textId="77777777" w:rsidR="00A37447" w:rsidRPr="0036111A" w:rsidRDefault="00A37447">
      <w:pPr>
        <w:keepNext/>
        <w:keepLines/>
        <w:pageBreakBefore/>
        <w:outlineLvl w:val="4"/>
        <w:rPr>
          <w:rFonts w:cs="Arial"/>
          <w:b/>
          <w:bCs/>
          <w:lang w:val="es-PE"/>
        </w:rPr>
      </w:pPr>
      <w:bookmarkStart w:id="17" w:name="_Toc235083029"/>
      <w:r w:rsidRPr="0036111A">
        <w:rPr>
          <w:rFonts w:cs="Arial"/>
          <w:b/>
          <w:bCs/>
          <w:lang w:val="es-PE"/>
        </w:rPr>
        <w:lastRenderedPageBreak/>
        <w:t>Gases del Pacífico (Concesión Norte)</w:t>
      </w:r>
      <w:bookmarkEnd w:id="17"/>
    </w:p>
    <w:tbl>
      <w:tblPr>
        <w:tblW w:w="0" w:type="auto"/>
        <w:tblBorders>
          <w:top w:val="single" w:sz="8" w:space="0" w:color="1F3864"/>
          <w:left w:val="single" w:sz="8" w:space="0" w:color="1F3864"/>
          <w:bottom w:val="single" w:sz="8" w:space="0" w:color="1F3864"/>
          <w:right w:val="single" w:sz="8" w:space="0" w:color="1F3864"/>
          <w:insideV w:val="single" w:sz="4" w:space="0" w:color="D9D9D9"/>
        </w:tblBorders>
        <w:tblLayout w:type="fixed"/>
        <w:tblCellMar>
          <w:top w:w="80" w:type="dxa"/>
          <w:left w:w="80" w:type="dxa"/>
          <w:bottom w:w="80" w:type="dxa"/>
          <w:right w:w="80" w:type="dxa"/>
        </w:tblCellMar>
        <w:tblLook w:val="04A0" w:firstRow="1" w:lastRow="0" w:firstColumn="1" w:lastColumn="0" w:noHBand="0" w:noVBand="1"/>
      </w:tblPr>
      <w:tblGrid>
        <w:gridCol w:w="2100"/>
        <w:gridCol w:w="1420"/>
        <w:gridCol w:w="1420"/>
        <w:gridCol w:w="1420"/>
        <w:gridCol w:w="1420"/>
        <w:gridCol w:w="1420"/>
      </w:tblGrid>
      <w:tr w:rsidR="00855697" w14:paraId="7D50A1EC" w14:textId="77777777">
        <w:trPr>
          <w:cantSplit/>
          <w:tblHeader/>
        </w:trPr>
        <w:tc>
          <w:tcPr>
            <w:tcW w:w="2100" w:type="dxa"/>
            <w:shd w:val="clear" w:color="auto" w:fill="F2F5FA"/>
            <w:vAlign w:val="center"/>
          </w:tcPr>
          <w:p w14:paraId="4F1B545F" w14:textId="77777777" w:rsidR="00A37447" w:rsidRDefault="00A37447">
            <w:pPr>
              <w:keepNext/>
              <w:jc w:val="center"/>
            </w:pPr>
            <w:r>
              <w:rPr>
                <w:noProof/>
              </w:rPr>
              <w:drawing>
                <wp:inline distT="0" distB="0" distL="0" distR="0" wp14:anchorId="6BA0067A" wp14:editId="75255746">
                  <wp:extent cx="1206349" cy="422334"/>
                  <wp:effectExtent l="0" t="0" r="0" b="0"/>
                  <wp:docPr id="47" name="Picture 2119286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quavii.png"/>
                          <pic:cNvPicPr/>
                        </pic:nvPicPr>
                        <pic:blipFill>
                          <a:blip r:embed="rId62"/>
                          <a:stretch>
                            <a:fillRect/>
                          </a:stretch>
                        </pic:blipFill>
                        <pic:spPr>
                          <a:xfrm>
                            <a:off x="0" y="0"/>
                            <a:ext cx="1206349" cy="422334"/>
                          </a:xfrm>
                          <a:prstGeom prst="rect">
                            <a:avLst/>
                          </a:prstGeom>
                        </pic:spPr>
                      </pic:pic>
                    </a:graphicData>
                  </a:graphic>
                </wp:inline>
              </w:drawing>
            </w:r>
          </w:p>
        </w:tc>
        <w:tc>
          <w:tcPr>
            <w:tcW w:w="1420" w:type="dxa"/>
            <w:noWrap/>
            <w:vAlign w:val="center"/>
          </w:tcPr>
          <w:p w14:paraId="6680A9A2" w14:textId="77777777" w:rsidR="00A37447" w:rsidRDefault="00A37447">
            <w:pPr>
              <w:keepNext/>
              <w:jc w:val="center"/>
            </w:pPr>
            <w:r>
              <w:rPr>
                <w:b/>
                <w:color w:val="00838F"/>
                <w:sz w:val="25"/>
              </w:rPr>
              <w:t>314.715</w:t>
            </w:r>
          </w:p>
          <w:p w14:paraId="70F8A5FB" w14:textId="77777777" w:rsidR="00A37447" w:rsidRDefault="00A37447">
            <w:pPr>
              <w:keepNext/>
              <w:jc w:val="center"/>
            </w:pPr>
            <w:r>
              <w:rPr>
                <w:color w:val="595959"/>
                <w:sz w:val="14"/>
              </w:rPr>
              <w:t>CLIENTES TOTALES</w:t>
            </w:r>
          </w:p>
        </w:tc>
        <w:tc>
          <w:tcPr>
            <w:tcW w:w="1420" w:type="dxa"/>
            <w:noWrap/>
            <w:vAlign w:val="center"/>
          </w:tcPr>
          <w:p w14:paraId="0E04913D" w14:textId="77777777" w:rsidR="00A37447" w:rsidRDefault="00A37447">
            <w:pPr>
              <w:keepNext/>
              <w:jc w:val="center"/>
            </w:pPr>
            <w:r>
              <w:rPr>
                <w:b/>
                <w:color w:val="00838F"/>
                <w:sz w:val="25"/>
              </w:rPr>
              <w:t>314.628</w:t>
            </w:r>
          </w:p>
          <w:p w14:paraId="604478CC" w14:textId="77777777" w:rsidR="00A37447" w:rsidRDefault="00A37447">
            <w:pPr>
              <w:keepNext/>
              <w:jc w:val="center"/>
            </w:pPr>
            <w:r>
              <w:rPr>
                <w:color w:val="595959"/>
                <w:sz w:val="14"/>
              </w:rPr>
              <w:t>RESIDENCIAL Y COMERCIAL</w:t>
            </w:r>
          </w:p>
        </w:tc>
        <w:tc>
          <w:tcPr>
            <w:tcW w:w="1420" w:type="dxa"/>
            <w:noWrap/>
            <w:vAlign w:val="center"/>
          </w:tcPr>
          <w:p w14:paraId="3DDB0752" w14:textId="77777777" w:rsidR="00A37447" w:rsidRDefault="00A37447">
            <w:pPr>
              <w:keepNext/>
              <w:jc w:val="center"/>
            </w:pPr>
            <w:r>
              <w:rPr>
                <w:b/>
                <w:color w:val="00838F"/>
                <w:sz w:val="25"/>
              </w:rPr>
              <w:t>92 %</w:t>
            </w:r>
          </w:p>
          <w:p w14:paraId="16B4AD22" w14:textId="77777777" w:rsidR="00A37447" w:rsidRDefault="00A37447">
            <w:pPr>
              <w:keepNext/>
              <w:jc w:val="center"/>
            </w:pPr>
            <w:r>
              <w:rPr>
                <w:color w:val="595959"/>
                <w:sz w:val="14"/>
              </w:rPr>
              <w:t>PENETRACIÓN</w:t>
            </w:r>
          </w:p>
        </w:tc>
        <w:tc>
          <w:tcPr>
            <w:tcW w:w="1420" w:type="dxa"/>
            <w:noWrap/>
            <w:vAlign w:val="center"/>
          </w:tcPr>
          <w:p w14:paraId="2C62AAC0" w14:textId="77777777" w:rsidR="00A37447" w:rsidRDefault="00A37447">
            <w:pPr>
              <w:keepNext/>
              <w:jc w:val="center"/>
            </w:pPr>
            <w:r>
              <w:rPr>
                <w:b/>
                <w:color w:val="00838F"/>
                <w:sz w:val="25"/>
              </w:rPr>
              <w:t>24 %</w:t>
            </w:r>
          </w:p>
          <w:p w14:paraId="603D4078" w14:textId="77777777" w:rsidR="00A37447" w:rsidRDefault="00A37447">
            <w:pPr>
              <w:keepNext/>
              <w:jc w:val="center"/>
            </w:pPr>
            <w:r>
              <w:rPr>
                <w:color w:val="595959"/>
                <w:sz w:val="14"/>
              </w:rPr>
              <w:t>COBERTURA</w:t>
            </w:r>
          </w:p>
        </w:tc>
        <w:tc>
          <w:tcPr>
            <w:tcW w:w="1420" w:type="dxa"/>
            <w:noWrap/>
            <w:vAlign w:val="center"/>
          </w:tcPr>
          <w:p w14:paraId="28DF28B1" w14:textId="77777777" w:rsidR="00A37447" w:rsidRDefault="00A37447">
            <w:pPr>
              <w:keepNext/>
              <w:jc w:val="center"/>
            </w:pPr>
            <w:r>
              <w:rPr>
                <w:b/>
                <w:color w:val="00838F"/>
              </w:rPr>
              <w:t>10,7 MMpcd</w:t>
            </w:r>
          </w:p>
          <w:p w14:paraId="1428D3C3" w14:textId="77777777" w:rsidR="00A37447" w:rsidRDefault="00A37447">
            <w:pPr>
              <w:keepNext/>
              <w:jc w:val="center"/>
            </w:pPr>
            <w:r>
              <w:rPr>
                <w:color w:val="595959"/>
                <w:sz w:val="14"/>
              </w:rPr>
              <w:t>VOLUMEN VENDIDO</w:t>
            </w:r>
          </w:p>
        </w:tc>
      </w:tr>
    </w:tbl>
    <w:p w14:paraId="1960E2E2" w14:textId="77777777" w:rsidR="00A37447" w:rsidRDefault="00A37447">
      <w:pPr>
        <w:keepNext/>
        <w:rPr>
          <w:rFonts w:cs="Arial"/>
          <w:b/>
          <w:bCs/>
        </w:rPr>
      </w:pPr>
    </w:p>
    <w:p w14:paraId="34ECAD3A" w14:textId="77777777" w:rsidR="00A37447" w:rsidRPr="0036111A" w:rsidRDefault="00A37447">
      <w:pPr>
        <w:keepNext/>
        <w:keepLines/>
        <w:rPr>
          <w:rFonts w:cs="Arial"/>
          <w:lang w:val="es-PE"/>
        </w:rPr>
      </w:pPr>
      <w:r w:rsidRPr="0036111A">
        <w:rPr>
          <w:rFonts w:cs="Arial"/>
          <w:lang w:val="es-PE"/>
        </w:rPr>
        <w:t>Gases del Pacífico, filial de Promigas, opera la Concesión Norte de distribución, que abarca las regiones de Áncash, Cajamarca, La Libertad y Lambayeque. Bajo la marca comercial Quavii, inició operación comercial a finales de 2017, con un plazo de concesión de 21 años.</w:t>
      </w:r>
    </w:p>
    <w:p w14:paraId="7FCCA1AB" w14:textId="77777777" w:rsidR="00A37447" w:rsidRPr="0036111A" w:rsidRDefault="00A37447">
      <w:pPr>
        <w:keepNext/>
        <w:keepLines/>
        <w:spacing w:before="160" w:after="20"/>
        <w:rPr>
          <w:lang w:val="es-PE"/>
        </w:rPr>
      </w:pPr>
      <w:r w:rsidRPr="0036111A">
        <w:rPr>
          <w:b/>
          <w:color w:val="00838F"/>
          <w:sz w:val="20"/>
          <w:lang w:val="es-PE"/>
        </w:rPr>
        <w:t>GASES DEL PACÍFICO: CLIENTES POR SEGMENTO</w:t>
      </w:r>
    </w:p>
    <w:p w14:paraId="68631A06" w14:textId="77777777" w:rsidR="00A37447" w:rsidRDefault="00A37447">
      <w:pPr>
        <w:keepNext/>
        <w:keepLines/>
        <w:spacing w:after="60"/>
      </w:pPr>
      <w:r>
        <w:rPr>
          <w:i/>
          <w:sz w:val="17"/>
        </w:rPr>
        <w:t>Cantidad de conexiones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2A53AF16" w14:textId="77777777">
        <w:trPr>
          <w:cantSplit/>
          <w:tblHeader/>
        </w:trPr>
        <w:tc>
          <w:tcPr>
            <w:tcW w:w="1063" w:type="dxa"/>
            <w:shd w:val="clear" w:color="auto" w:fill="1F3864"/>
          </w:tcPr>
          <w:p w14:paraId="3CEA5097" w14:textId="77777777" w:rsidR="00A37447" w:rsidRDefault="00A37447">
            <w:pPr>
              <w:keepNext/>
            </w:pPr>
            <w:r>
              <w:rPr>
                <w:b/>
                <w:color w:val="FFFFFF"/>
                <w:sz w:val="17"/>
              </w:rPr>
              <w:t>Sector</w:t>
            </w:r>
          </w:p>
        </w:tc>
        <w:tc>
          <w:tcPr>
            <w:tcW w:w="1063" w:type="dxa"/>
            <w:shd w:val="clear" w:color="auto" w:fill="1F3864"/>
            <w:noWrap/>
          </w:tcPr>
          <w:p w14:paraId="042286BA" w14:textId="77777777" w:rsidR="00A37447" w:rsidRDefault="00A37447">
            <w:pPr>
              <w:keepNext/>
              <w:jc w:val="right"/>
            </w:pPr>
            <w:r>
              <w:rPr>
                <w:b/>
                <w:color w:val="FFFFFF"/>
                <w:sz w:val="17"/>
              </w:rPr>
              <w:t>2021</w:t>
            </w:r>
          </w:p>
        </w:tc>
        <w:tc>
          <w:tcPr>
            <w:tcW w:w="1063" w:type="dxa"/>
            <w:shd w:val="clear" w:color="auto" w:fill="1F3864"/>
            <w:noWrap/>
          </w:tcPr>
          <w:p w14:paraId="3B974731" w14:textId="77777777" w:rsidR="00A37447" w:rsidRDefault="00A37447">
            <w:pPr>
              <w:keepNext/>
              <w:jc w:val="right"/>
            </w:pPr>
            <w:r>
              <w:rPr>
                <w:b/>
                <w:color w:val="FFFFFF"/>
                <w:sz w:val="17"/>
              </w:rPr>
              <w:t>2022</w:t>
            </w:r>
          </w:p>
        </w:tc>
        <w:tc>
          <w:tcPr>
            <w:tcW w:w="1063" w:type="dxa"/>
            <w:shd w:val="clear" w:color="auto" w:fill="1F3864"/>
            <w:noWrap/>
          </w:tcPr>
          <w:p w14:paraId="3592F06D" w14:textId="77777777" w:rsidR="00A37447" w:rsidRDefault="00A37447">
            <w:pPr>
              <w:keepNext/>
              <w:jc w:val="right"/>
            </w:pPr>
            <w:r>
              <w:rPr>
                <w:b/>
                <w:color w:val="FFFFFF"/>
                <w:sz w:val="17"/>
              </w:rPr>
              <w:t>2023</w:t>
            </w:r>
          </w:p>
        </w:tc>
        <w:tc>
          <w:tcPr>
            <w:tcW w:w="1063" w:type="dxa"/>
            <w:shd w:val="clear" w:color="auto" w:fill="1F3864"/>
            <w:noWrap/>
          </w:tcPr>
          <w:p w14:paraId="611E6654" w14:textId="77777777" w:rsidR="00A37447" w:rsidRDefault="00A37447">
            <w:pPr>
              <w:keepNext/>
              <w:jc w:val="right"/>
            </w:pPr>
            <w:r>
              <w:rPr>
                <w:b/>
                <w:color w:val="FFFFFF"/>
                <w:sz w:val="17"/>
              </w:rPr>
              <w:t>2024</w:t>
            </w:r>
          </w:p>
        </w:tc>
        <w:tc>
          <w:tcPr>
            <w:tcW w:w="1063" w:type="dxa"/>
            <w:shd w:val="clear" w:color="auto" w:fill="1F3864"/>
            <w:noWrap/>
          </w:tcPr>
          <w:p w14:paraId="66489176" w14:textId="77777777" w:rsidR="00A37447" w:rsidRDefault="00A37447">
            <w:pPr>
              <w:keepNext/>
              <w:jc w:val="right"/>
            </w:pPr>
            <w:r>
              <w:rPr>
                <w:b/>
                <w:color w:val="FFFFFF"/>
                <w:sz w:val="17"/>
              </w:rPr>
              <w:t>2025</w:t>
            </w:r>
          </w:p>
        </w:tc>
        <w:tc>
          <w:tcPr>
            <w:tcW w:w="1063" w:type="dxa"/>
            <w:shd w:val="clear" w:color="auto" w:fill="1F3864"/>
          </w:tcPr>
          <w:p w14:paraId="090139C2" w14:textId="77777777" w:rsidR="00A37447" w:rsidRDefault="00A37447">
            <w:pPr>
              <w:keepNext/>
              <w:jc w:val="right"/>
            </w:pPr>
            <w:r>
              <w:rPr>
                <w:b/>
                <w:color w:val="FFFFFF"/>
                <w:sz w:val="17"/>
              </w:rPr>
              <w:t>Var. % 2025 vs 2024</w:t>
            </w:r>
          </w:p>
        </w:tc>
        <w:tc>
          <w:tcPr>
            <w:tcW w:w="1063" w:type="dxa"/>
            <w:shd w:val="clear" w:color="auto" w:fill="1F3864"/>
          </w:tcPr>
          <w:p w14:paraId="0F116B72" w14:textId="77777777" w:rsidR="00A37447" w:rsidRDefault="00A37447">
            <w:pPr>
              <w:keepNext/>
              <w:jc w:val="right"/>
            </w:pPr>
            <w:r>
              <w:rPr>
                <w:b/>
                <w:color w:val="FFFFFF"/>
                <w:sz w:val="17"/>
              </w:rPr>
              <w:t>TACC 2021-2025</w:t>
            </w:r>
          </w:p>
        </w:tc>
      </w:tr>
      <w:tr w:rsidR="00855697" w14:paraId="5CDF5CA4" w14:textId="77777777">
        <w:trPr>
          <w:cantSplit/>
        </w:trPr>
        <w:tc>
          <w:tcPr>
            <w:tcW w:w="1063" w:type="dxa"/>
            <w:noWrap/>
          </w:tcPr>
          <w:p w14:paraId="67709B15" w14:textId="77777777" w:rsidR="00A37447" w:rsidRDefault="00A37447">
            <w:pPr>
              <w:keepNext/>
              <w:spacing w:after="20"/>
            </w:pPr>
            <w:r>
              <w:rPr>
                <w:sz w:val="17"/>
              </w:rPr>
              <w:t>Residencial</w:t>
            </w:r>
          </w:p>
        </w:tc>
        <w:tc>
          <w:tcPr>
            <w:tcW w:w="1063" w:type="dxa"/>
            <w:noWrap/>
          </w:tcPr>
          <w:p w14:paraId="65FA6864" w14:textId="77777777" w:rsidR="00A37447" w:rsidRDefault="00A37447">
            <w:pPr>
              <w:keepNext/>
              <w:spacing w:after="20"/>
              <w:jc w:val="right"/>
            </w:pPr>
            <w:r>
              <w:rPr>
                <w:sz w:val="16"/>
              </w:rPr>
              <w:t>184.137</w:t>
            </w:r>
          </w:p>
        </w:tc>
        <w:tc>
          <w:tcPr>
            <w:tcW w:w="1063" w:type="dxa"/>
            <w:noWrap/>
          </w:tcPr>
          <w:p w14:paraId="5283B685" w14:textId="77777777" w:rsidR="00A37447" w:rsidRDefault="00A37447">
            <w:pPr>
              <w:keepNext/>
              <w:spacing w:after="20"/>
              <w:jc w:val="right"/>
            </w:pPr>
            <w:r>
              <w:rPr>
                <w:sz w:val="16"/>
              </w:rPr>
              <w:t>217.133</w:t>
            </w:r>
          </w:p>
        </w:tc>
        <w:tc>
          <w:tcPr>
            <w:tcW w:w="1063" w:type="dxa"/>
            <w:noWrap/>
          </w:tcPr>
          <w:p w14:paraId="21FDDF44" w14:textId="77777777" w:rsidR="00A37447" w:rsidRDefault="00A37447">
            <w:pPr>
              <w:keepNext/>
              <w:spacing w:after="20"/>
              <w:jc w:val="right"/>
            </w:pPr>
            <w:r>
              <w:rPr>
                <w:sz w:val="16"/>
              </w:rPr>
              <w:t>259.931</w:t>
            </w:r>
          </w:p>
        </w:tc>
        <w:tc>
          <w:tcPr>
            <w:tcW w:w="1063" w:type="dxa"/>
            <w:noWrap/>
          </w:tcPr>
          <w:p w14:paraId="236AEA1A" w14:textId="77777777" w:rsidR="00A37447" w:rsidRDefault="00A37447">
            <w:pPr>
              <w:keepNext/>
              <w:spacing w:after="20"/>
              <w:jc w:val="right"/>
            </w:pPr>
            <w:r>
              <w:rPr>
                <w:sz w:val="16"/>
              </w:rPr>
              <w:t>309.066</w:t>
            </w:r>
          </w:p>
        </w:tc>
        <w:tc>
          <w:tcPr>
            <w:tcW w:w="1063" w:type="dxa"/>
            <w:noWrap/>
          </w:tcPr>
          <w:p w14:paraId="57A3BC57" w14:textId="77777777" w:rsidR="00A37447" w:rsidRDefault="00A37447">
            <w:pPr>
              <w:keepNext/>
              <w:spacing w:after="20"/>
              <w:jc w:val="right"/>
            </w:pPr>
            <w:r>
              <w:rPr>
                <w:sz w:val="16"/>
              </w:rPr>
              <w:t>313.826</w:t>
            </w:r>
          </w:p>
        </w:tc>
        <w:tc>
          <w:tcPr>
            <w:tcW w:w="1063" w:type="dxa"/>
            <w:noWrap/>
          </w:tcPr>
          <w:p w14:paraId="3F7D27BA" w14:textId="77777777" w:rsidR="00A37447" w:rsidRDefault="00A37447">
            <w:pPr>
              <w:keepNext/>
              <w:spacing w:after="20"/>
              <w:jc w:val="right"/>
            </w:pPr>
            <w:r>
              <w:rPr>
                <w:sz w:val="16"/>
              </w:rPr>
              <w:t>1,5 %</w:t>
            </w:r>
          </w:p>
        </w:tc>
        <w:tc>
          <w:tcPr>
            <w:tcW w:w="1063" w:type="dxa"/>
            <w:noWrap/>
          </w:tcPr>
          <w:p w14:paraId="3F69E768" w14:textId="77777777" w:rsidR="00A37447" w:rsidRDefault="00A37447">
            <w:pPr>
              <w:keepNext/>
              <w:spacing w:after="20"/>
              <w:jc w:val="right"/>
            </w:pPr>
            <w:r>
              <w:rPr>
                <w:sz w:val="16"/>
              </w:rPr>
              <w:t>14,3 %</w:t>
            </w:r>
          </w:p>
        </w:tc>
      </w:tr>
      <w:tr w:rsidR="00855697" w14:paraId="28E3F3DE" w14:textId="77777777">
        <w:trPr>
          <w:cantSplit/>
        </w:trPr>
        <w:tc>
          <w:tcPr>
            <w:tcW w:w="1063" w:type="dxa"/>
            <w:noWrap/>
          </w:tcPr>
          <w:p w14:paraId="7FF1F3F0" w14:textId="77777777" w:rsidR="00A37447" w:rsidRDefault="00A37447">
            <w:pPr>
              <w:keepNext/>
              <w:spacing w:after="20"/>
            </w:pPr>
            <w:r>
              <w:rPr>
                <w:sz w:val="17"/>
              </w:rPr>
              <w:t>Comercial</w:t>
            </w:r>
          </w:p>
        </w:tc>
        <w:tc>
          <w:tcPr>
            <w:tcW w:w="1063" w:type="dxa"/>
            <w:noWrap/>
          </w:tcPr>
          <w:p w14:paraId="002841C4" w14:textId="77777777" w:rsidR="00A37447" w:rsidRDefault="00A37447">
            <w:pPr>
              <w:keepNext/>
              <w:spacing w:after="20"/>
              <w:jc w:val="right"/>
            </w:pPr>
            <w:r>
              <w:rPr>
                <w:sz w:val="16"/>
              </w:rPr>
              <w:t>175</w:t>
            </w:r>
          </w:p>
        </w:tc>
        <w:tc>
          <w:tcPr>
            <w:tcW w:w="1063" w:type="dxa"/>
            <w:noWrap/>
          </w:tcPr>
          <w:p w14:paraId="236FAE2F" w14:textId="77777777" w:rsidR="00A37447" w:rsidRDefault="00A37447">
            <w:pPr>
              <w:keepNext/>
              <w:spacing w:after="20"/>
              <w:jc w:val="right"/>
            </w:pPr>
            <w:r>
              <w:rPr>
                <w:sz w:val="16"/>
              </w:rPr>
              <w:t>277</w:t>
            </w:r>
          </w:p>
        </w:tc>
        <w:tc>
          <w:tcPr>
            <w:tcW w:w="1063" w:type="dxa"/>
            <w:noWrap/>
          </w:tcPr>
          <w:p w14:paraId="0E79FA79" w14:textId="77777777" w:rsidR="00A37447" w:rsidRDefault="00A37447">
            <w:pPr>
              <w:keepNext/>
              <w:spacing w:after="20"/>
              <w:jc w:val="right"/>
            </w:pPr>
            <w:r>
              <w:rPr>
                <w:sz w:val="16"/>
              </w:rPr>
              <w:t>458</w:t>
            </w:r>
          </w:p>
        </w:tc>
        <w:tc>
          <w:tcPr>
            <w:tcW w:w="1063" w:type="dxa"/>
            <w:noWrap/>
          </w:tcPr>
          <w:p w14:paraId="788ABB10" w14:textId="77777777" w:rsidR="00A37447" w:rsidRDefault="00A37447">
            <w:pPr>
              <w:keepNext/>
              <w:spacing w:after="20"/>
              <w:jc w:val="right"/>
            </w:pPr>
            <w:r>
              <w:rPr>
                <w:sz w:val="16"/>
              </w:rPr>
              <w:t>660</w:t>
            </w:r>
          </w:p>
        </w:tc>
        <w:tc>
          <w:tcPr>
            <w:tcW w:w="1063" w:type="dxa"/>
            <w:noWrap/>
          </w:tcPr>
          <w:p w14:paraId="7D373D1C" w14:textId="77777777" w:rsidR="00A37447" w:rsidRDefault="00A37447">
            <w:pPr>
              <w:keepNext/>
              <w:spacing w:after="20"/>
              <w:jc w:val="right"/>
            </w:pPr>
            <w:r>
              <w:rPr>
                <w:sz w:val="16"/>
              </w:rPr>
              <w:t>802</w:t>
            </w:r>
          </w:p>
        </w:tc>
        <w:tc>
          <w:tcPr>
            <w:tcW w:w="1063" w:type="dxa"/>
            <w:noWrap/>
          </w:tcPr>
          <w:p w14:paraId="4B305561" w14:textId="77777777" w:rsidR="00A37447" w:rsidRDefault="00A37447">
            <w:pPr>
              <w:keepNext/>
              <w:spacing w:after="20"/>
              <w:jc w:val="right"/>
            </w:pPr>
            <w:r>
              <w:rPr>
                <w:sz w:val="16"/>
              </w:rPr>
              <w:t>21,5 %</w:t>
            </w:r>
          </w:p>
        </w:tc>
        <w:tc>
          <w:tcPr>
            <w:tcW w:w="1063" w:type="dxa"/>
            <w:noWrap/>
          </w:tcPr>
          <w:p w14:paraId="18484DF8" w14:textId="77777777" w:rsidR="00A37447" w:rsidRDefault="00A37447">
            <w:pPr>
              <w:keepNext/>
              <w:spacing w:after="20"/>
              <w:jc w:val="right"/>
            </w:pPr>
            <w:r>
              <w:rPr>
                <w:sz w:val="16"/>
              </w:rPr>
              <w:t>46,3 %</w:t>
            </w:r>
          </w:p>
        </w:tc>
      </w:tr>
      <w:tr w:rsidR="00855697" w14:paraId="594017D9" w14:textId="77777777">
        <w:trPr>
          <w:cantSplit/>
        </w:trPr>
        <w:tc>
          <w:tcPr>
            <w:tcW w:w="1063" w:type="dxa"/>
            <w:noWrap/>
          </w:tcPr>
          <w:p w14:paraId="4C0F5E25" w14:textId="77777777" w:rsidR="00A37447" w:rsidRDefault="00A37447">
            <w:pPr>
              <w:keepNext/>
              <w:spacing w:after="20"/>
            </w:pPr>
            <w:r>
              <w:rPr>
                <w:sz w:val="17"/>
              </w:rPr>
              <w:t>Industrial</w:t>
            </w:r>
          </w:p>
        </w:tc>
        <w:tc>
          <w:tcPr>
            <w:tcW w:w="1063" w:type="dxa"/>
            <w:noWrap/>
          </w:tcPr>
          <w:p w14:paraId="049B8AC3" w14:textId="77777777" w:rsidR="00A37447" w:rsidRDefault="00A37447">
            <w:pPr>
              <w:keepNext/>
              <w:spacing w:after="20"/>
              <w:jc w:val="right"/>
            </w:pPr>
            <w:r>
              <w:rPr>
                <w:sz w:val="16"/>
              </w:rPr>
              <w:t>45</w:t>
            </w:r>
          </w:p>
        </w:tc>
        <w:tc>
          <w:tcPr>
            <w:tcW w:w="1063" w:type="dxa"/>
            <w:noWrap/>
          </w:tcPr>
          <w:p w14:paraId="5E26FBBB" w14:textId="77777777" w:rsidR="00A37447" w:rsidRDefault="00A37447">
            <w:pPr>
              <w:keepNext/>
              <w:spacing w:after="20"/>
              <w:jc w:val="right"/>
            </w:pPr>
            <w:r>
              <w:rPr>
                <w:sz w:val="16"/>
              </w:rPr>
              <w:t>54</w:t>
            </w:r>
          </w:p>
        </w:tc>
        <w:tc>
          <w:tcPr>
            <w:tcW w:w="1063" w:type="dxa"/>
            <w:noWrap/>
          </w:tcPr>
          <w:p w14:paraId="18942B2C" w14:textId="77777777" w:rsidR="00A37447" w:rsidRDefault="00A37447">
            <w:pPr>
              <w:keepNext/>
              <w:spacing w:after="20"/>
              <w:jc w:val="right"/>
            </w:pPr>
            <w:r>
              <w:rPr>
                <w:sz w:val="16"/>
              </w:rPr>
              <w:t>62</w:t>
            </w:r>
          </w:p>
        </w:tc>
        <w:tc>
          <w:tcPr>
            <w:tcW w:w="1063" w:type="dxa"/>
            <w:noWrap/>
          </w:tcPr>
          <w:p w14:paraId="07490297" w14:textId="77777777" w:rsidR="00A37447" w:rsidRDefault="00A37447">
            <w:pPr>
              <w:keepNext/>
              <w:spacing w:after="20"/>
              <w:jc w:val="right"/>
            </w:pPr>
            <w:r>
              <w:rPr>
                <w:sz w:val="16"/>
              </w:rPr>
              <w:t>68</w:t>
            </w:r>
          </w:p>
        </w:tc>
        <w:tc>
          <w:tcPr>
            <w:tcW w:w="1063" w:type="dxa"/>
            <w:noWrap/>
          </w:tcPr>
          <w:p w14:paraId="16F518E6" w14:textId="77777777" w:rsidR="00A37447" w:rsidRDefault="00A37447">
            <w:pPr>
              <w:keepNext/>
              <w:spacing w:after="20"/>
              <w:jc w:val="right"/>
            </w:pPr>
            <w:r>
              <w:rPr>
                <w:sz w:val="16"/>
              </w:rPr>
              <w:t>73</w:t>
            </w:r>
          </w:p>
        </w:tc>
        <w:tc>
          <w:tcPr>
            <w:tcW w:w="1063" w:type="dxa"/>
            <w:noWrap/>
          </w:tcPr>
          <w:p w14:paraId="53C8F251" w14:textId="77777777" w:rsidR="00A37447" w:rsidRDefault="00A37447">
            <w:pPr>
              <w:keepNext/>
              <w:spacing w:after="20"/>
              <w:jc w:val="right"/>
            </w:pPr>
            <w:r>
              <w:rPr>
                <w:sz w:val="16"/>
              </w:rPr>
              <w:t>7,4 %</w:t>
            </w:r>
          </w:p>
        </w:tc>
        <w:tc>
          <w:tcPr>
            <w:tcW w:w="1063" w:type="dxa"/>
            <w:noWrap/>
          </w:tcPr>
          <w:p w14:paraId="5F04E132" w14:textId="77777777" w:rsidR="00A37447" w:rsidRDefault="00A37447">
            <w:pPr>
              <w:keepNext/>
              <w:spacing w:after="20"/>
              <w:jc w:val="right"/>
            </w:pPr>
            <w:r>
              <w:rPr>
                <w:sz w:val="16"/>
              </w:rPr>
              <w:t>12,9 %</w:t>
            </w:r>
          </w:p>
        </w:tc>
      </w:tr>
      <w:tr w:rsidR="00855697" w14:paraId="0C39AFCE" w14:textId="77777777">
        <w:trPr>
          <w:cantSplit/>
        </w:trPr>
        <w:tc>
          <w:tcPr>
            <w:tcW w:w="1063" w:type="dxa"/>
          </w:tcPr>
          <w:p w14:paraId="0ADFD420" w14:textId="77777777" w:rsidR="00A37447" w:rsidRDefault="00A37447">
            <w:pPr>
              <w:keepNext/>
              <w:spacing w:after="20"/>
            </w:pPr>
            <w:r>
              <w:rPr>
                <w:sz w:val="17"/>
              </w:rPr>
              <w:t>Estaciones de servicio GNV</w:t>
            </w:r>
          </w:p>
        </w:tc>
        <w:tc>
          <w:tcPr>
            <w:tcW w:w="1063" w:type="dxa"/>
            <w:noWrap/>
          </w:tcPr>
          <w:p w14:paraId="47D97F81" w14:textId="77777777" w:rsidR="00A37447" w:rsidRDefault="00A37447">
            <w:pPr>
              <w:keepNext/>
              <w:spacing w:after="20"/>
              <w:jc w:val="right"/>
            </w:pPr>
            <w:r>
              <w:rPr>
                <w:sz w:val="16"/>
              </w:rPr>
              <w:t>2</w:t>
            </w:r>
          </w:p>
        </w:tc>
        <w:tc>
          <w:tcPr>
            <w:tcW w:w="1063" w:type="dxa"/>
            <w:noWrap/>
          </w:tcPr>
          <w:p w14:paraId="7DFD5452" w14:textId="77777777" w:rsidR="00A37447" w:rsidRDefault="00A37447">
            <w:pPr>
              <w:keepNext/>
              <w:spacing w:after="20"/>
              <w:jc w:val="right"/>
            </w:pPr>
            <w:r>
              <w:rPr>
                <w:sz w:val="16"/>
              </w:rPr>
              <w:t>2</w:t>
            </w:r>
          </w:p>
        </w:tc>
        <w:tc>
          <w:tcPr>
            <w:tcW w:w="1063" w:type="dxa"/>
            <w:noWrap/>
          </w:tcPr>
          <w:p w14:paraId="7A98D388" w14:textId="77777777" w:rsidR="00A37447" w:rsidRDefault="00A37447">
            <w:pPr>
              <w:keepNext/>
              <w:spacing w:after="20"/>
              <w:jc w:val="right"/>
            </w:pPr>
            <w:r>
              <w:rPr>
                <w:sz w:val="16"/>
              </w:rPr>
              <w:t>2</w:t>
            </w:r>
          </w:p>
        </w:tc>
        <w:tc>
          <w:tcPr>
            <w:tcW w:w="1063" w:type="dxa"/>
            <w:noWrap/>
          </w:tcPr>
          <w:p w14:paraId="53F81173" w14:textId="77777777" w:rsidR="00A37447" w:rsidRDefault="00A37447">
            <w:pPr>
              <w:keepNext/>
              <w:spacing w:after="20"/>
              <w:jc w:val="right"/>
            </w:pPr>
            <w:r>
              <w:rPr>
                <w:sz w:val="16"/>
              </w:rPr>
              <w:t>9</w:t>
            </w:r>
          </w:p>
        </w:tc>
        <w:tc>
          <w:tcPr>
            <w:tcW w:w="1063" w:type="dxa"/>
            <w:noWrap/>
          </w:tcPr>
          <w:p w14:paraId="6EC24B28" w14:textId="77777777" w:rsidR="00A37447" w:rsidRDefault="00A37447">
            <w:pPr>
              <w:keepNext/>
              <w:spacing w:after="20"/>
              <w:jc w:val="right"/>
            </w:pPr>
            <w:r>
              <w:rPr>
                <w:sz w:val="16"/>
              </w:rPr>
              <w:t>14</w:t>
            </w:r>
          </w:p>
        </w:tc>
        <w:tc>
          <w:tcPr>
            <w:tcW w:w="1063" w:type="dxa"/>
            <w:noWrap/>
          </w:tcPr>
          <w:p w14:paraId="2ECA2A54" w14:textId="77777777" w:rsidR="00A37447" w:rsidRDefault="00A37447">
            <w:pPr>
              <w:keepNext/>
              <w:spacing w:after="20"/>
              <w:jc w:val="right"/>
            </w:pPr>
            <w:r>
              <w:rPr>
                <w:sz w:val="16"/>
              </w:rPr>
              <w:t>55,6 %</w:t>
            </w:r>
          </w:p>
        </w:tc>
        <w:tc>
          <w:tcPr>
            <w:tcW w:w="1063" w:type="dxa"/>
            <w:noWrap/>
          </w:tcPr>
          <w:p w14:paraId="1CC6A877" w14:textId="77777777" w:rsidR="00A37447" w:rsidRDefault="00A37447">
            <w:pPr>
              <w:keepNext/>
              <w:spacing w:after="20"/>
              <w:jc w:val="right"/>
            </w:pPr>
            <w:r>
              <w:rPr>
                <w:sz w:val="16"/>
              </w:rPr>
              <w:t>62,7 %</w:t>
            </w:r>
          </w:p>
        </w:tc>
      </w:tr>
      <w:tr w:rsidR="00855697" w14:paraId="05493E8F" w14:textId="77777777">
        <w:trPr>
          <w:cantSplit/>
        </w:trPr>
        <w:tc>
          <w:tcPr>
            <w:tcW w:w="1063" w:type="dxa"/>
            <w:noWrap/>
          </w:tcPr>
          <w:p w14:paraId="1C1A2BC2" w14:textId="77777777" w:rsidR="00A37447" w:rsidRDefault="00A37447">
            <w:pPr>
              <w:keepNext/>
              <w:spacing w:after="20"/>
            </w:pPr>
            <w:r>
              <w:rPr>
                <w:b/>
                <w:sz w:val="17"/>
              </w:rPr>
              <w:t>Total</w:t>
            </w:r>
          </w:p>
        </w:tc>
        <w:tc>
          <w:tcPr>
            <w:tcW w:w="1063" w:type="dxa"/>
            <w:noWrap/>
          </w:tcPr>
          <w:p w14:paraId="330D749D" w14:textId="77777777" w:rsidR="00A37447" w:rsidRDefault="00A37447">
            <w:pPr>
              <w:keepNext/>
              <w:spacing w:after="20"/>
              <w:jc w:val="right"/>
            </w:pPr>
            <w:r>
              <w:rPr>
                <w:sz w:val="16"/>
              </w:rPr>
              <w:t>184.359</w:t>
            </w:r>
          </w:p>
        </w:tc>
        <w:tc>
          <w:tcPr>
            <w:tcW w:w="1063" w:type="dxa"/>
            <w:noWrap/>
          </w:tcPr>
          <w:p w14:paraId="263F7B49" w14:textId="77777777" w:rsidR="00A37447" w:rsidRDefault="00A37447">
            <w:pPr>
              <w:keepNext/>
              <w:spacing w:after="20"/>
              <w:jc w:val="right"/>
            </w:pPr>
            <w:r>
              <w:rPr>
                <w:sz w:val="16"/>
              </w:rPr>
              <w:t>217.466</w:t>
            </w:r>
          </w:p>
        </w:tc>
        <w:tc>
          <w:tcPr>
            <w:tcW w:w="1063" w:type="dxa"/>
            <w:noWrap/>
          </w:tcPr>
          <w:p w14:paraId="6C696799" w14:textId="77777777" w:rsidR="00A37447" w:rsidRDefault="00A37447">
            <w:pPr>
              <w:keepNext/>
              <w:spacing w:after="20"/>
              <w:jc w:val="right"/>
            </w:pPr>
            <w:r>
              <w:rPr>
                <w:sz w:val="16"/>
              </w:rPr>
              <w:t>260.453</w:t>
            </w:r>
          </w:p>
        </w:tc>
        <w:tc>
          <w:tcPr>
            <w:tcW w:w="1063" w:type="dxa"/>
            <w:noWrap/>
          </w:tcPr>
          <w:p w14:paraId="22B84EBF" w14:textId="77777777" w:rsidR="00A37447" w:rsidRDefault="00A37447">
            <w:pPr>
              <w:keepNext/>
              <w:spacing w:after="20"/>
              <w:jc w:val="right"/>
            </w:pPr>
            <w:r>
              <w:rPr>
                <w:sz w:val="16"/>
              </w:rPr>
              <w:t>309.803</w:t>
            </w:r>
          </w:p>
        </w:tc>
        <w:tc>
          <w:tcPr>
            <w:tcW w:w="1063" w:type="dxa"/>
            <w:noWrap/>
          </w:tcPr>
          <w:p w14:paraId="13B1BA19" w14:textId="77777777" w:rsidR="00A37447" w:rsidRDefault="00A37447">
            <w:pPr>
              <w:keepNext/>
              <w:spacing w:after="20"/>
              <w:jc w:val="right"/>
            </w:pPr>
            <w:r>
              <w:rPr>
                <w:sz w:val="16"/>
              </w:rPr>
              <w:t>314.715</w:t>
            </w:r>
          </w:p>
        </w:tc>
        <w:tc>
          <w:tcPr>
            <w:tcW w:w="1063" w:type="dxa"/>
            <w:noWrap/>
          </w:tcPr>
          <w:p w14:paraId="243D1A37" w14:textId="77777777" w:rsidR="00A37447" w:rsidRDefault="00A37447">
            <w:pPr>
              <w:keepNext/>
              <w:spacing w:after="20"/>
              <w:jc w:val="right"/>
            </w:pPr>
            <w:r>
              <w:rPr>
                <w:sz w:val="16"/>
              </w:rPr>
              <w:t>1,6 %</w:t>
            </w:r>
          </w:p>
        </w:tc>
        <w:tc>
          <w:tcPr>
            <w:tcW w:w="1063" w:type="dxa"/>
            <w:noWrap/>
          </w:tcPr>
          <w:p w14:paraId="57236E3F" w14:textId="77777777" w:rsidR="00A37447" w:rsidRDefault="00A37447">
            <w:pPr>
              <w:keepNext/>
              <w:spacing w:after="20"/>
              <w:jc w:val="right"/>
            </w:pPr>
            <w:r>
              <w:rPr>
                <w:sz w:val="16"/>
              </w:rPr>
              <w:t>14,3 %</w:t>
            </w:r>
          </w:p>
        </w:tc>
      </w:tr>
    </w:tbl>
    <w:p w14:paraId="65F194FE" w14:textId="77777777" w:rsidR="00A37447" w:rsidRDefault="00A37447">
      <w:pPr>
        <w:keepLines/>
        <w:spacing w:before="40"/>
        <w:jc w:val="right"/>
      </w:pPr>
      <w:r>
        <w:rPr>
          <w:b/>
          <w:color w:val="404040"/>
          <w:sz w:val="15"/>
        </w:rPr>
        <w:t>FUENTE: Quavii</w:t>
      </w:r>
    </w:p>
    <w:p w14:paraId="0A201FD3" w14:textId="48D609BF" w:rsidR="00A37447" w:rsidRPr="0036111A" w:rsidRDefault="00A37447">
      <w:pPr>
        <w:keepLines/>
        <w:rPr>
          <w:b/>
          <w:bCs/>
          <w:lang w:val="es-PE"/>
        </w:rPr>
      </w:pPr>
      <w:r w:rsidRPr="0036111A">
        <w:rPr>
          <w:bCs/>
          <w:lang w:val="es-PE"/>
        </w:rPr>
        <w:t>Gases del Pacífico superó los 314 mil clientes al cierre de 2025, con un incremento de apenas 2 % respecto a 2024, significativamente menor al crecimiento del año previo. La desaceleración obedece principalmente a las restricciones derivadas de la revisión tarifaria de Osinergmin para el periodo 2025</w:t>
      </w:r>
      <w:r>
        <w:rPr>
          <w:bCs/>
          <w:lang w:val="es-PE"/>
        </w:rPr>
        <w:t>-</w:t>
      </w:r>
      <w:r w:rsidRPr="0036111A">
        <w:rPr>
          <w:bCs/>
          <w:lang w:val="es-PE"/>
        </w:rPr>
        <w:t xml:space="preserve">2028, que fijó una tarifa media de US$ 8,7 por millón de BTU (MMBTU) frente a los US$ 19,7 propuestos por la empresa </w:t>
      </w:r>
      <w:r>
        <w:rPr>
          <w:bCs/>
          <w:lang w:val="es-PE"/>
        </w:rPr>
        <w:t>–</w:t>
      </w:r>
      <w:r w:rsidRPr="0036111A">
        <w:rPr>
          <w:bCs/>
          <w:lang w:val="es-PE"/>
        </w:rPr>
        <w:t>28 % por debajo incluso de la tarifa del contrato de concesión, vigente entre 2017 y 2024</w:t>
      </w:r>
      <w:r>
        <w:rPr>
          <w:bCs/>
          <w:lang w:val="es-PE"/>
        </w:rPr>
        <w:t>–</w:t>
      </w:r>
      <w:r w:rsidRPr="0036111A">
        <w:rPr>
          <w:bCs/>
          <w:lang w:val="es-PE"/>
        </w:rPr>
        <w:t xml:space="preserve">, limitando la capacidad de inversión y la expansión de redes. La concesionaria agotó la vía administrativa con un recurso de reconsideración, resuelto en marzo de 2025, y su matriz llevó el caso al arbitraje internacional de inversiones, registrado en julio de 2026. El ratio de penetración alcanzó 92 %, el más alto entre todas las concesiones, </w:t>
      </w:r>
      <w:r>
        <w:rPr>
          <w:bCs/>
          <w:lang w:val="es-PE"/>
        </w:rPr>
        <w:t xml:space="preserve">lo que refleja </w:t>
      </w:r>
      <w:r w:rsidRPr="0036111A">
        <w:rPr>
          <w:bCs/>
          <w:lang w:val="es-PE"/>
        </w:rPr>
        <w:t>el alto grado de conexión en las zonas ya anilladas. La cobertura llegó al 24 % de los hogares potenciales.</w:t>
      </w:r>
    </w:p>
    <w:p w14:paraId="0D719C1A" w14:textId="77777777" w:rsidR="00A37447" w:rsidRDefault="00A37447">
      <w:pPr>
        <w:keepLines/>
        <w:rPr>
          <w:bCs/>
          <w:lang w:val="es-PE"/>
        </w:rPr>
      </w:pPr>
      <w:r w:rsidRPr="0036111A">
        <w:rPr>
          <w:bCs/>
          <w:lang w:val="es-PE"/>
        </w:rPr>
        <w:t>Las ventas de Gases del Pacífico crecieron 6 % en 2025, impulsadas principalmente por el GNV, cuyos volúmenes crecieron 67 % gracias a la apertura de nuevas estaciones de servicio. Las ventas industriales registraron una leve contracción (-3 %), dentro de la variabilidad habitual de un segmento concentrado en pocos clientes.</w:t>
      </w:r>
    </w:p>
    <w:p w14:paraId="7E98B851" w14:textId="77777777" w:rsidR="003F1D5B" w:rsidRDefault="003F1D5B">
      <w:pPr>
        <w:keepNext/>
        <w:rPr>
          <w:bCs/>
          <w:lang w:val="es-PE"/>
        </w:rPr>
      </w:pPr>
    </w:p>
    <w:p w14:paraId="374F789E" w14:textId="77777777" w:rsidR="00A37447" w:rsidRPr="0036111A" w:rsidRDefault="00A37447">
      <w:pPr>
        <w:keepNext/>
        <w:keepLines/>
        <w:spacing w:before="160" w:after="20"/>
        <w:rPr>
          <w:lang w:val="es-PE"/>
        </w:rPr>
      </w:pPr>
      <w:r w:rsidRPr="0036111A">
        <w:rPr>
          <w:b/>
          <w:color w:val="00838F"/>
          <w:sz w:val="20"/>
          <w:lang w:val="es-PE"/>
        </w:rPr>
        <w:t>GASES DEL PACÍFICO: VENTAS POR SEGMENTO</w:t>
      </w:r>
    </w:p>
    <w:p w14:paraId="7ED31019" w14:textId="77777777" w:rsidR="00A37447" w:rsidRDefault="00A37447">
      <w:pPr>
        <w:keepNext/>
        <w:keepLines/>
        <w:spacing w:after="60"/>
      </w:pPr>
      <w:r>
        <w:rPr>
          <w:i/>
          <w:sz w:val="17"/>
        </w:rPr>
        <w:t>Millones de pies cúbicos diarios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33DF857D" w14:textId="77777777">
        <w:trPr>
          <w:cantSplit/>
          <w:tblHeader/>
        </w:trPr>
        <w:tc>
          <w:tcPr>
            <w:tcW w:w="1063" w:type="dxa"/>
            <w:shd w:val="clear" w:color="auto" w:fill="1F3864"/>
          </w:tcPr>
          <w:p w14:paraId="021D92F6" w14:textId="77777777" w:rsidR="00A37447" w:rsidRDefault="00A37447">
            <w:pPr>
              <w:keepNext/>
            </w:pPr>
            <w:r>
              <w:rPr>
                <w:b/>
                <w:color w:val="FFFFFF"/>
                <w:sz w:val="17"/>
              </w:rPr>
              <w:t>Sector</w:t>
            </w:r>
          </w:p>
        </w:tc>
        <w:tc>
          <w:tcPr>
            <w:tcW w:w="1063" w:type="dxa"/>
            <w:shd w:val="clear" w:color="auto" w:fill="1F3864"/>
            <w:noWrap/>
          </w:tcPr>
          <w:p w14:paraId="439B8EDB" w14:textId="77777777" w:rsidR="00A37447" w:rsidRDefault="00A37447">
            <w:pPr>
              <w:keepNext/>
              <w:jc w:val="right"/>
            </w:pPr>
            <w:r>
              <w:rPr>
                <w:b/>
                <w:color w:val="FFFFFF"/>
                <w:sz w:val="17"/>
              </w:rPr>
              <w:t>2021</w:t>
            </w:r>
          </w:p>
        </w:tc>
        <w:tc>
          <w:tcPr>
            <w:tcW w:w="1063" w:type="dxa"/>
            <w:shd w:val="clear" w:color="auto" w:fill="1F3864"/>
            <w:noWrap/>
          </w:tcPr>
          <w:p w14:paraId="41C436D6" w14:textId="77777777" w:rsidR="00A37447" w:rsidRDefault="00A37447">
            <w:pPr>
              <w:keepNext/>
              <w:jc w:val="right"/>
            </w:pPr>
            <w:r>
              <w:rPr>
                <w:b/>
                <w:color w:val="FFFFFF"/>
                <w:sz w:val="17"/>
              </w:rPr>
              <w:t>2022</w:t>
            </w:r>
          </w:p>
        </w:tc>
        <w:tc>
          <w:tcPr>
            <w:tcW w:w="1063" w:type="dxa"/>
            <w:shd w:val="clear" w:color="auto" w:fill="1F3864"/>
            <w:noWrap/>
          </w:tcPr>
          <w:p w14:paraId="1F7880F7" w14:textId="77777777" w:rsidR="00A37447" w:rsidRDefault="00A37447">
            <w:pPr>
              <w:keepNext/>
              <w:jc w:val="right"/>
            </w:pPr>
            <w:r>
              <w:rPr>
                <w:b/>
                <w:color w:val="FFFFFF"/>
                <w:sz w:val="17"/>
              </w:rPr>
              <w:t>2023</w:t>
            </w:r>
          </w:p>
        </w:tc>
        <w:tc>
          <w:tcPr>
            <w:tcW w:w="1063" w:type="dxa"/>
            <w:shd w:val="clear" w:color="auto" w:fill="1F3864"/>
            <w:noWrap/>
          </w:tcPr>
          <w:p w14:paraId="6CF859AC" w14:textId="77777777" w:rsidR="00A37447" w:rsidRDefault="00A37447">
            <w:pPr>
              <w:keepNext/>
              <w:jc w:val="right"/>
            </w:pPr>
            <w:r>
              <w:rPr>
                <w:b/>
                <w:color w:val="FFFFFF"/>
                <w:sz w:val="17"/>
              </w:rPr>
              <w:t>2024</w:t>
            </w:r>
          </w:p>
        </w:tc>
        <w:tc>
          <w:tcPr>
            <w:tcW w:w="1063" w:type="dxa"/>
            <w:shd w:val="clear" w:color="auto" w:fill="1F3864"/>
            <w:noWrap/>
          </w:tcPr>
          <w:p w14:paraId="0E950270" w14:textId="77777777" w:rsidR="00A37447" w:rsidRDefault="00A37447">
            <w:pPr>
              <w:keepNext/>
              <w:jc w:val="right"/>
            </w:pPr>
            <w:r>
              <w:rPr>
                <w:b/>
                <w:color w:val="FFFFFF"/>
                <w:sz w:val="17"/>
              </w:rPr>
              <w:t>2025</w:t>
            </w:r>
          </w:p>
        </w:tc>
        <w:tc>
          <w:tcPr>
            <w:tcW w:w="1063" w:type="dxa"/>
            <w:shd w:val="clear" w:color="auto" w:fill="1F3864"/>
          </w:tcPr>
          <w:p w14:paraId="058B4C59" w14:textId="77777777" w:rsidR="00A37447" w:rsidRDefault="00A37447">
            <w:pPr>
              <w:keepNext/>
              <w:jc w:val="right"/>
            </w:pPr>
            <w:r>
              <w:rPr>
                <w:b/>
                <w:color w:val="FFFFFF"/>
                <w:sz w:val="17"/>
              </w:rPr>
              <w:t>Var. % 2025 vs 2024</w:t>
            </w:r>
          </w:p>
        </w:tc>
        <w:tc>
          <w:tcPr>
            <w:tcW w:w="1063" w:type="dxa"/>
            <w:shd w:val="clear" w:color="auto" w:fill="1F3864"/>
          </w:tcPr>
          <w:p w14:paraId="4BFC94A6" w14:textId="77777777" w:rsidR="00A37447" w:rsidRDefault="00A37447">
            <w:pPr>
              <w:keepNext/>
              <w:jc w:val="right"/>
            </w:pPr>
            <w:r>
              <w:rPr>
                <w:b/>
                <w:color w:val="FFFFFF"/>
                <w:sz w:val="17"/>
              </w:rPr>
              <w:t>TACC 2021-2025</w:t>
            </w:r>
          </w:p>
        </w:tc>
      </w:tr>
      <w:tr w:rsidR="00855697" w14:paraId="3A43E293" w14:textId="77777777">
        <w:trPr>
          <w:cantSplit/>
        </w:trPr>
        <w:tc>
          <w:tcPr>
            <w:tcW w:w="1063" w:type="dxa"/>
            <w:noWrap/>
          </w:tcPr>
          <w:p w14:paraId="2110D671" w14:textId="77777777" w:rsidR="00A37447" w:rsidRDefault="00A37447">
            <w:pPr>
              <w:keepNext/>
              <w:spacing w:after="20"/>
            </w:pPr>
            <w:r>
              <w:rPr>
                <w:sz w:val="17"/>
              </w:rPr>
              <w:t>Residencial</w:t>
            </w:r>
          </w:p>
        </w:tc>
        <w:tc>
          <w:tcPr>
            <w:tcW w:w="1063" w:type="dxa"/>
            <w:noWrap/>
          </w:tcPr>
          <w:p w14:paraId="1DFF7236" w14:textId="77777777" w:rsidR="00A37447" w:rsidRDefault="00A37447">
            <w:pPr>
              <w:keepNext/>
              <w:spacing w:after="20"/>
              <w:jc w:val="right"/>
            </w:pPr>
            <w:r>
              <w:rPr>
                <w:sz w:val="16"/>
              </w:rPr>
              <w:t>2,0</w:t>
            </w:r>
          </w:p>
        </w:tc>
        <w:tc>
          <w:tcPr>
            <w:tcW w:w="1063" w:type="dxa"/>
            <w:noWrap/>
          </w:tcPr>
          <w:p w14:paraId="6BCD4E31" w14:textId="77777777" w:rsidR="00A37447" w:rsidRDefault="00A37447">
            <w:pPr>
              <w:keepNext/>
              <w:spacing w:after="20"/>
              <w:jc w:val="right"/>
            </w:pPr>
            <w:r>
              <w:rPr>
                <w:sz w:val="16"/>
              </w:rPr>
              <w:t>2,5</w:t>
            </w:r>
          </w:p>
        </w:tc>
        <w:tc>
          <w:tcPr>
            <w:tcW w:w="1063" w:type="dxa"/>
            <w:noWrap/>
          </w:tcPr>
          <w:p w14:paraId="3E3DA011" w14:textId="77777777" w:rsidR="00A37447" w:rsidRDefault="00A37447">
            <w:pPr>
              <w:keepNext/>
              <w:spacing w:after="20"/>
              <w:jc w:val="right"/>
            </w:pPr>
            <w:r>
              <w:rPr>
                <w:sz w:val="16"/>
              </w:rPr>
              <w:t>2,7</w:t>
            </w:r>
          </w:p>
        </w:tc>
        <w:tc>
          <w:tcPr>
            <w:tcW w:w="1063" w:type="dxa"/>
            <w:noWrap/>
          </w:tcPr>
          <w:p w14:paraId="5D32862A" w14:textId="77777777" w:rsidR="00A37447" w:rsidRDefault="00A37447">
            <w:pPr>
              <w:keepNext/>
              <w:spacing w:after="20"/>
              <w:jc w:val="right"/>
            </w:pPr>
            <w:r>
              <w:rPr>
                <w:sz w:val="16"/>
              </w:rPr>
              <w:t>3,2</w:t>
            </w:r>
          </w:p>
        </w:tc>
        <w:tc>
          <w:tcPr>
            <w:tcW w:w="1063" w:type="dxa"/>
            <w:noWrap/>
          </w:tcPr>
          <w:p w14:paraId="7651D8DD" w14:textId="77777777" w:rsidR="00A37447" w:rsidRDefault="00A37447">
            <w:pPr>
              <w:keepNext/>
              <w:spacing w:after="20"/>
              <w:jc w:val="right"/>
            </w:pPr>
            <w:r>
              <w:rPr>
                <w:sz w:val="16"/>
              </w:rPr>
              <w:t>3,4</w:t>
            </w:r>
          </w:p>
        </w:tc>
        <w:tc>
          <w:tcPr>
            <w:tcW w:w="1063" w:type="dxa"/>
            <w:noWrap/>
          </w:tcPr>
          <w:p w14:paraId="3CF98DCC" w14:textId="77777777" w:rsidR="00A37447" w:rsidRDefault="00A37447">
            <w:pPr>
              <w:keepNext/>
              <w:spacing w:after="20"/>
              <w:jc w:val="right"/>
            </w:pPr>
            <w:r>
              <w:rPr>
                <w:sz w:val="16"/>
              </w:rPr>
              <w:t>6,3 %</w:t>
            </w:r>
          </w:p>
        </w:tc>
        <w:tc>
          <w:tcPr>
            <w:tcW w:w="1063" w:type="dxa"/>
            <w:noWrap/>
          </w:tcPr>
          <w:p w14:paraId="4CC19A29" w14:textId="77777777" w:rsidR="00A37447" w:rsidRDefault="00A37447">
            <w:pPr>
              <w:keepNext/>
              <w:spacing w:after="20"/>
              <w:jc w:val="right"/>
            </w:pPr>
            <w:r>
              <w:rPr>
                <w:sz w:val="16"/>
              </w:rPr>
              <w:t>14,4 %</w:t>
            </w:r>
          </w:p>
        </w:tc>
      </w:tr>
      <w:tr w:rsidR="00855697" w14:paraId="40088A9F" w14:textId="77777777">
        <w:trPr>
          <w:cantSplit/>
        </w:trPr>
        <w:tc>
          <w:tcPr>
            <w:tcW w:w="1063" w:type="dxa"/>
            <w:noWrap/>
          </w:tcPr>
          <w:p w14:paraId="5957E669" w14:textId="77777777" w:rsidR="00A37447" w:rsidRDefault="00A37447">
            <w:pPr>
              <w:keepNext/>
              <w:spacing w:after="20"/>
            </w:pPr>
            <w:r>
              <w:rPr>
                <w:sz w:val="17"/>
              </w:rPr>
              <w:t>Comercial</w:t>
            </w:r>
          </w:p>
        </w:tc>
        <w:tc>
          <w:tcPr>
            <w:tcW w:w="1063" w:type="dxa"/>
            <w:noWrap/>
          </w:tcPr>
          <w:p w14:paraId="1C2F2F26" w14:textId="77777777" w:rsidR="00A37447" w:rsidRDefault="00A37447">
            <w:pPr>
              <w:keepNext/>
              <w:spacing w:after="20"/>
              <w:jc w:val="right"/>
            </w:pPr>
            <w:r>
              <w:rPr>
                <w:sz w:val="16"/>
              </w:rPr>
              <w:t>0,0</w:t>
            </w:r>
          </w:p>
        </w:tc>
        <w:tc>
          <w:tcPr>
            <w:tcW w:w="1063" w:type="dxa"/>
            <w:noWrap/>
          </w:tcPr>
          <w:p w14:paraId="593098F3" w14:textId="77777777" w:rsidR="00A37447" w:rsidRDefault="00A37447">
            <w:pPr>
              <w:keepNext/>
              <w:spacing w:after="20"/>
              <w:jc w:val="right"/>
            </w:pPr>
            <w:r>
              <w:rPr>
                <w:sz w:val="16"/>
              </w:rPr>
              <w:t>0,1</w:t>
            </w:r>
          </w:p>
        </w:tc>
        <w:tc>
          <w:tcPr>
            <w:tcW w:w="1063" w:type="dxa"/>
            <w:noWrap/>
          </w:tcPr>
          <w:p w14:paraId="38687B71" w14:textId="77777777" w:rsidR="00A37447" w:rsidRDefault="00A37447">
            <w:pPr>
              <w:keepNext/>
              <w:spacing w:after="20"/>
              <w:jc w:val="right"/>
            </w:pPr>
            <w:r>
              <w:rPr>
                <w:sz w:val="16"/>
              </w:rPr>
              <w:t>0,1</w:t>
            </w:r>
          </w:p>
        </w:tc>
        <w:tc>
          <w:tcPr>
            <w:tcW w:w="1063" w:type="dxa"/>
            <w:noWrap/>
          </w:tcPr>
          <w:p w14:paraId="1B547DBD" w14:textId="77777777" w:rsidR="00A37447" w:rsidRDefault="00A37447">
            <w:pPr>
              <w:keepNext/>
              <w:spacing w:after="20"/>
              <w:jc w:val="right"/>
            </w:pPr>
            <w:r>
              <w:rPr>
                <w:sz w:val="16"/>
              </w:rPr>
              <w:t>0,1</w:t>
            </w:r>
          </w:p>
        </w:tc>
        <w:tc>
          <w:tcPr>
            <w:tcW w:w="1063" w:type="dxa"/>
            <w:noWrap/>
          </w:tcPr>
          <w:p w14:paraId="13686D6A" w14:textId="77777777" w:rsidR="00A37447" w:rsidRDefault="00A37447">
            <w:pPr>
              <w:keepNext/>
              <w:spacing w:after="20"/>
              <w:jc w:val="right"/>
            </w:pPr>
            <w:r>
              <w:rPr>
                <w:sz w:val="16"/>
              </w:rPr>
              <w:t>0,1</w:t>
            </w:r>
          </w:p>
        </w:tc>
        <w:tc>
          <w:tcPr>
            <w:tcW w:w="1063" w:type="dxa"/>
            <w:noWrap/>
          </w:tcPr>
          <w:p w14:paraId="283A465D" w14:textId="77777777" w:rsidR="00A37447" w:rsidRDefault="00A37447">
            <w:pPr>
              <w:keepNext/>
              <w:spacing w:after="20"/>
              <w:jc w:val="right"/>
            </w:pPr>
            <w:r>
              <w:rPr>
                <w:sz w:val="16"/>
              </w:rPr>
              <w:t>28,5 %</w:t>
            </w:r>
          </w:p>
        </w:tc>
        <w:tc>
          <w:tcPr>
            <w:tcW w:w="1063" w:type="dxa"/>
            <w:noWrap/>
          </w:tcPr>
          <w:p w14:paraId="5EAA22DE" w14:textId="77777777" w:rsidR="00A37447" w:rsidRDefault="00A37447">
            <w:pPr>
              <w:keepNext/>
              <w:spacing w:after="20"/>
              <w:jc w:val="right"/>
            </w:pPr>
            <w:r>
              <w:rPr>
                <w:sz w:val="16"/>
              </w:rPr>
              <w:t>25,0 %</w:t>
            </w:r>
          </w:p>
        </w:tc>
      </w:tr>
      <w:tr w:rsidR="00855697" w14:paraId="33ABDDB9" w14:textId="77777777">
        <w:trPr>
          <w:cantSplit/>
        </w:trPr>
        <w:tc>
          <w:tcPr>
            <w:tcW w:w="1063" w:type="dxa"/>
            <w:noWrap/>
          </w:tcPr>
          <w:p w14:paraId="22BAC5CA" w14:textId="77777777" w:rsidR="00A37447" w:rsidRDefault="00A37447">
            <w:pPr>
              <w:keepNext/>
              <w:spacing w:after="20"/>
            </w:pPr>
            <w:r>
              <w:rPr>
                <w:sz w:val="17"/>
              </w:rPr>
              <w:t>Industrial</w:t>
            </w:r>
          </w:p>
        </w:tc>
        <w:tc>
          <w:tcPr>
            <w:tcW w:w="1063" w:type="dxa"/>
            <w:noWrap/>
          </w:tcPr>
          <w:p w14:paraId="7242898E" w14:textId="77777777" w:rsidR="00A37447" w:rsidRDefault="00A37447">
            <w:pPr>
              <w:keepNext/>
              <w:spacing w:after="20"/>
              <w:jc w:val="right"/>
            </w:pPr>
            <w:r>
              <w:rPr>
                <w:sz w:val="16"/>
              </w:rPr>
              <w:t>5,2</w:t>
            </w:r>
          </w:p>
        </w:tc>
        <w:tc>
          <w:tcPr>
            <w:tcW w:w="1063" w:type="dxa"/>
            <w:noWrap/>
          </w:tcPr>
          <w:p w14:paraId="7DA40F1C" w14:textId="77777777" w:rsidR="00A37447" w:rsidRDefault="00A37447">
            <w:pPr>
              <w:keepNext/>
              <w:spacing w:after="20"/>
              <w:jc w:val="right"/>
            </w:pPr>
            <w:r>
              <w:rPr>
                <w:sz w:val="16"/>
              </w:rPr>
              <w:t>6,2</w:t>
            </w:r>
          </w:p>
        </w:tc>
        <w:tc>
          <w:tcPr>
            <w:tcW w:w="1063" w:type="dxa"/>
            <w:noWrap/>
          </w:tcPr>
          <w:p w14:paraId="19E48F33" w14:textId="77777777" w:rsidR="00A37447" w:rsidRDefault="00A37447">
            <w:pPr>
              <w:keepNext/>
              <w:spacing w:after="20"/>
              <w:jc w:val="right"/>
            </w:pPr>
            <w:r>
              <w:rPr>
                <w:sz w:val="16"/>
              </w:rPr>
              <w:t>4,5</w:t>
            </w:r>
          </w:p>
        </w:tc>
        <w:tc>
          <w:tcPr>
            <w:tcW w:w="1063" w:type="dxa"/>
            <w:noWrap/>
          </w:tcPr>
          <w:p w14:paraId="70564BE6" w14:textId="77777777" w:rsidR="00A37447" w:rsidRDefault="00A37447">
            <w:pPr>
              <w:keepNext/>
              <w:spacing w:after="20"/>
              <w:jc w:val="right"/>
            </w:pPr>
            <w:r>
              <w:rPr>
                <w:sz w:val="16"/>
              </w:rPr>
              <w:t>6,0</w:t>
            </w:r>
          </w:p>
        </w:tc>
        <w:tc>
          <w:tcPr>
            <w:tcW w:w="1063" w:type="dxa"/>
            <w:noWrap/>
          </w:tcPr>
          <w:p w14:paraId="39AAB57C" w14:textId="77777777" w:rsidR="00A37447" w:rsidRDefault="00A37447">
            <w:pPr>
              <w:keepNext/>
              <w:spacing w:after="20"/>
              <w:jc w:val="right"/>
            </w:pPr>
            <w:r>
              <w:rPr>
                <w:sz w:val="16"/>
              </w:rPr>
              <w:t>5,8</w:t>
            </w:r>
          </w:p>
        </w:tc>
        <w:tc>
          <w:tcPr>
            <w:tcW w:w="1063" w:type="dxa"/>
            <w:noWrap/>
          </w:tcPr>
          <w:p w14:paraId="6501247F" w14:textId="77777777" w:rsidR="00A37447" w:rsidRDefault="00A37447">
            <w:pPr>
              <w:keepNext/>
              <w:spacing w:after="20"/>
              <w:jc w:val="right"/>
            </w:pPr>
            <w:r>
              <w:rPr>
                <w:sz w:val="16"/>
              </w:rPr>
              <w:t>-2,8 %</w:t>
            </w:r>
          </w:p>
        </w:tc>
        <w:tc>
          <w:tcPr>
            <w:tcW w:w="1063" w:type="dxa"/>
            <w:noWrap/>
          </w:tcPr>
          <w:p w14:paraId="77E1FCCB" w14:textId="77777777" w:rsidR="00A37447" w:rsidRDefault="00A37447">
            <w:pPr>
              <w:keepNext/>
              <w:spacing w:after="20"/>
              <w:jc w:val="right"/>
            </w:pPr>
            <w:r>
              <w:rPr>
                <w:sz w:val="16"/>
              </w:rPr>
              <w:t>2,8 %</w:t>
            </w:r>
          </w:p>
        </w:tc>
      </w:tr>
      <w:tr w:rsidR="00855697" w14:paraId="4EDB05BB" w14:textId="77777777">
        <w:trPr>
          <w:cantSplit/>
        </w:trPr>
        <w:tc>
          <w:tcPr>
            <w:tcW w:w="1063" w:type="dxa"/>
          </w:tcPr>
          <w:p w14:paraId="6365E449" w14:textId="77777777" w:rsidR="00A37447" w:rsidRDefault="00A37447">
            <w:pPr>
              <w:keepNext/>
              <w:spacing w:after="20"/>
            </w:pPr>
            <w:r>
              <w:rPr>
                <w:sz w:val="17"/>
              </w:rPr>
              <w:t>Estaciones de servicio GNV</w:t>
            </w:r>
          </w:p>
        </w:tc>
        <w:tc>
          <w:tcPr>
            <w:tcW w:w="1063" w:type="dxa"/>
            <w:noWrap/>
          </w:tcPr>
          <w:p w14:paraId="56F3BBCE" w14:textId="77777777" w:rsidR="00A37447" w:rsidRDefault="00A37447">
            <w:pPr>
              <w:keepNext/>
              <w:spacing w:after="20"/>
              <w:jc w:val="right"/>
            </w:pPr>
            <w:r>
              <w:rPr>
                <w:sz w:val="16"/>
              </w:rPr>
              <w:t>0,2</w:t>
            </w:r>
          </w:p>
        </w:tc>
        <w:tc>
          <w:tcPr>
            <w:tcW w:w="1063" w:type="dxa"/>
            <w:noWrap/>
          </w:tcPr>
          <w:p w14:paraId="5F78AE44" w14:textId="77777777" w:rsidR="00A37447" w:rsidRDefault="00A37447">
            <w:pPr>
              <w:keepNext/>
              <w:spacing w:after="20"/>
              <w:jc w:val="right"/>
            </w:pPr>
            <w:r>
              <w:rPr>
                <w:sz w:val="16"/>
              </w:rPr>
              <w:t>0,5</w:t>
            </w:r>
          </w:p>
        </w:tc>
        <w:tc>
          <w:tcPr>
            <w:tcW w:w="1063" w:type="dxa"/>
            <w:noWrap/>
          </w:tcPr>
          <w:p w14:paraId="33C25E24" w14:textId="77777777" w:rsidR="00A37447" w:rsidRDefault="00A37447">
            <w:pPr>
              <w:keepNext/>
              <w:spacing w:after="20"/>
              <w:jc w:val="right"/>
            </w:pPr>
            <w:r>
              <w:rPr>
                <w:sz w:val="16"/>
              </w:rPr>
              <w:t>0,8</w:t>
            </w:r>
          </w:p>
        </w:tc>
        <w:tc>
          <w:tcPr>
            <w:tcW w:w="1063" w:type="dxa"/>
            <w:noWrap/>
          </w:tcPr>
          <w:p w14:paraId="42A25316" w14:textId="77777777" w:rsidR="00A37447" w:rsidRDefault="00A37447">
            <w:pPr>
              <w:keepNext/>
              <w:spacing w:after="20"/>
              <w:jc w:val="right"/>
            </w:pPr>
            <w:r>
              <w:rPr>
                <w:sz w:val="16"/>
              </w:rPr>
              <w:t>0,8</w:t>
            </w:r>
          </w:p>
        </w:tc>
        <w:tc>
          <w:tcPr>
            <w:tcW w:w="1063" w:type="dxa"/>
            <w:noWrap/>
          </w:tcPr>
          <w:p w14:paraId="685A3BD2" w14:textId="77777777" w:rsidR="00A37447" w:rsidRDefault="00A37447">
            <w:pPr>
              <w:keepNext/>
              <w:spacing w:after="20"/>
              <w:jc w:val="right"/>
            </w:pPr>
            <w:r>
              <w:rPr>
                <w:sz w:val="16"/>
              </w:rPr>
              <w:t>1,4</w:t>
            </w:r>
          </w:p>
        </w:tc>
        <w:tc>
          <w:tcPr>
            <w:tcW w:w="1063" w:type="dxa"/>
            <w:noWrap/>
          </w:tcPr>
          <w:p w14:paraId="68B5D668" w14:textId="77777777" w:rsidR="00A37447" w:rsidRDefault="00A37447">
            <w:pPr>
              <w:keepNext/>
              <w:spacing w:after="20"/>
              <w:jc w:val="right"/>
            </w:pPr>
            <w:r>
              <w:rPr>
                <w:sz w:val="16"/>
              </w:rPr>
              <w:t>67,4 %</w:t>
            </w:r>
          </w:p>
        </w:tc>
        <w:tc>
          <w:tcPr>
            <w:tcW w:w="1063" w:type="dxa"/>
            <w:noWrap/>
          </w:tcPr>
          <w:p w14:paraId="22EF3BEF" w14:textId="77777777" w:rsidR="00A37447" w:rsidRDefault="00A37447">
            <w:pPr>
              <w:keepNext/>
              <w:spacing w:after="20"/>
              <w:jc w:val="right"/>
            </w:pPr>
            <w:r>
              <w:rPr>
                <w:sz w:val="16"/>
              </w:rPr>
              <w:t>56,6 %</w:t>
            </w:r>
          </w:p>
        </w:tc>
      </w:tr>
      <w:tr w:rsidR="00855697" w14:paraId="37C2564D" w14:textId="77777777">
        <w:trPr>
          <w:cantSplit/>
        </w:trPr>
        <w:tc>
          <w:tcPr>
            <w:tcW w:w="1063" w:type="dxa"/>
            <w:noWrap/>
          </w:tcPr>
          <w:p w14:paraId="4377C2D5" w14:textId="77777777" w:rsidR="00A37447" w:rsidRDefault="00A37447">
            <w:pPr>
              <w:keepNext/>
              <w:spacing w:after="20"/>
            </w:pPr>
            <w:r>
              <w:rPr>
                <w:b/>
                <w:sz w:val="17"/>
              </w:rPr>
              <w:t>Total</w:t>
            </w:r>
          </w:p>
        </w:tc>
        <w:tc>
          <w:tcPr>
            <w:tcW w:w="1063" w:type="dxa"/>
            <w:noWrap/>
          </w:tcPr>
          <w:p w14:paraId="647A2E6F" w14:textId="77777777" w:rsidR="00A37447" w:rsidRDefault="00A37447">
            <w:pPr>
              <w:keepNext/>
              <w:spacing w:after="20"/>
              <w:jc w:val="right"/>
            </w:pPr>
            <w:r>
              <w:rPr>
                <w:sz w:val="16"/>
              </w:rPr>
              <w:t>7,5</w:t>
            </w:r>
          </w:p>
        </w:tc>
        <w:tc>
          <w:tcPr>
            <w:tcW w:w="1063" w:type="dxa"/>
            <w:noWrap/>
          </w:tcPr>
          <w:p w14:paraId="3E5435FC" w14:textId="77777777" w:rsidR="00A37447" w:rsidRDefault="00A37447">
            <w:pPr>
              <w:keepNext/>
              <w:spacing w:after="20"/>
              <w:jc w:val="right"/>
            </w:pPr>
            <w:r>
              <w:rPr>
                <w:sz w:val="16"/>
              </w:rPr>
              <w:t>9,3</w:t>
            </w:r>
          </w:p>
        </w:tc>
        <w:tc>
          <w:tcPr>
            <w:tcW w:w="1063" w:type="dxa"/>
            <w:noWrap/>
          </w:tcPr>
          <w:p w14:paraId="3FA7E056" w14:textId="77777777" w:rsidR="00A37447" w:rsidRDefault="00A37447">
            <w:pPr>
              <w:keepNext/>
              <w:spacing w:after="20"/>
              <w:jc w:val="right"/>
            </w:pPr>
            <w:r>
              <w:rPr>
                <w:sz w:val="16"/>
              </w:rPr>
              <w:t>8,1</w:t>
            </w:r>
          </w:p>
        </w:tc>
        <w:tc>
          <w:tcPr>
            <w:tcW w:w="1063" w:type="dxa"/>
            <w:noWrap/>
          </w:tcPr>
          <w:p w14:paraId="26560A47" w14:textId="77777777" w:rsidR="00A37447" w:rsidRDefault="00A37447">
            <w:pPr>
              <w:keepNext/>
              <w:spacing w:after="20"/>
              <w:jc w:val="right"/>
            </w:pPr>
            <w:r>
              <w:rPr>
                <w:sz w:val="16"/>
              </w:rPr>
              <w:t>10,1</w:t>
            </w:r>
          </w:p>
        </w:tc>
        <w:tc>
          <w:tcPr>
            <w:tcW w:w="1063" w:type="dxa"/>
            <w:noWrap/>
          </w:tcPr>
          <w:p w14:paraId="4DD500C3" w14:textId="77777777" w:rsidR="00A37447" w:rsidRDefault="00A37447">
            <w:pPr>
              <w:keepNext/>
              <w:spacing w:after="20"/>
              <w:jc w:val="right"/>
            </w:pPr>
            <w:r>
              <w:rPr>
                <w:sz w:val="16"/>
              </w:rPr>
              <w:t>10,7</w:t>
            </w:r>
          </w:p>
        </w:tc>
        <w:tc>
          <w:tcPr>
            <w:tcW w:w="1063" w:type="dxa"/>
            <w:noWrap/>
          </w:tcPr>
          <w:p w14:paraId="7F8B10CD" w14:textId="77777777" w:rsidR="00A37447" w:rsidRDefault="00A37447">
            <w:pPr>
              <w:keepNext/>
              <w:spacing w:after="20"/>
              <w:jc w:val="right"/>
            </w:pPr>
            <w:r>
              <w:rPr>
                <w:sz w:val="16"/>
              </w:rPr>
              <w:t>6,0 %</w:t>
            </w:r>
          </w:p>
        </w:tc>
        <w:tc>
          <w:tcPr>
            <w:tcW w:w="1063" w:type="dxa"/>
            <w:noWrap/>
          </w:tcPr>
          <w:p w14:paraId="1510921E" w14:textId="77777777" w:rsidR="00A37447" w:rsidRDefault="00A37447">
            <w:pPr>
              <w:keepNext/>
              <w:spacing w:after="20"/>
              <w:jc w:val="right"/>
            </w:pPr>
            <w:r>
              <w:rPr>
                <w:sz w:val="16"/>
              </w:rPr>
              <w:t>9,4 %</w:t>
            </w:r>
          </w:p>
        </w:tc>
      </w:tr>
    </w:tbl>
    <w:p w14:paraId="357593CD" w14:textId="77777777" w:rsidR="00A37447" w:rsidRDefault="00A37447">
      <w:pPr>
        <w:keepLines/>
        <w:spacing w:before="40"/>
        <w:jc w:val="right"/>
      </w:pPr>
      <w:r>
        <w:rPr>
          <w:b/>
          <w:color w:val="404040"/>
          <w:sz w:val="15"/>
        </w:rPr>
        <w:t>FUENTE: Quavii</w:t>
      </w:r>
    </w:p>
    <w:p w14:paraId="6467CFA1" w14:textId="0A9B2218" w:rsidR="00A37447" w:rsidRPr="0036111A" w:rsidRDefault="00A37447">
      <w:pPr>
        <w:keepLines/>
        <w:rPr>
          <w:lang w:val="es-PE"/>
        </w:rPr>
      </w:pPr>
      <w:r w:rsidRPr="0036111A">
        <w:rPr>
          <w:lang w:val="es-PE"/>
        </w:rPr>
        <w:t xml:space="preserve">Las inversiones de Gases del Pacífico sumaron US$ 27,6 millones en 2025, todavía por debajo de los US$ 30,5 millones de 2021, cuando la concesión desplegaba su red inicial. Incluso, en 2025 no </w:t>
      </w:r>
      <w:r w:rsidR="00B2778B">
        <w:rPr>
          <w:lang w:val="es-PE"/>
        </w:rPr>
        <w:t xml:space="preserve">se </w:t>
      </w:r>
      <w:r w:rsidRPr="0036111A">
        <w:rPr>
          <w:lang w:val="es-PE"/>
        </w:rPr>
        <w:t xml:space="preserve">anilló una sola vivienda nueva </w:t>
      </w:r>
      <w:r>
        <w:rPr>
          <w:lang w:val="es-PE"/>
        </w:rPr>
        <w:t>–</w:t>
      </w:r>
      <w:r w:rsidRPr="0036111A">
        <w:rPr>
          <w:lang w:val="es-PE"/>
        </w:rPr>
        <w:t xml:space="preserve">tras más de diez mil </w:t>
      </w:r>
      <w:r>
        <w:rPr>
          <w:lang w:val="es-PE"/>
        </w:rPr>
        <w:t xml:space="preserve">anilladas </w:t>
      </w:r>
      <w:r w:rsidRPr="0036111A">
        <w:rPr>
          <w:lang w:val="es-PE"/>
        </w:rPr>
        <w:t>en 2024</w:t>
      </w:r>
      <w:r>
        <w:rPr>
          <w:lang w:val="es-PE"/>
        </w:rPr>
        <w:t>–</w:t>
      </w:r>
      <w:r w:rsidRPr="0036111A">
        <w:rPr>
          <w:lang w:val="es-PE"/>
        </w:rPr>
        <w:t xml:space="preserve"> y las nuevas conexiones residenciales cayeron 90 %</w:t>
      </w:r>
      <w:r w:rsidR="00B2778B">
        <w:rPr>
          <w:lang w:val="es-PE"/>
        </w:rPr>
        <w:t xml:space="preserve"> respecto al año previo</w:t>
      </w:r>
      <w:r w:rsidRPr="0036111A">
        <w:rPr>
          <w:lang w:val="es-PE"/>
        </w:rPr>
        <w:t>. La inversión dejó de ampliar la red y pasó a conectar viviendas ya anilladas y a proyectos puntuales vinculados al sector automotriz y pesquero, un giro que la concesionaria atribuye a la revisión tarifaria 2025-2028.</w:t>
      </w:r>
    </w:p>
    <w:p w14:paraId="6400873F" w14:textId="35A60E78" w:rsidR="00A37447" w:rsidRDefault="00A37447">
      <w:pPr>
        <w:spacing w:before="160"/>
        <w:jc w:val="center"/>
      </w:pPr>
      <w:r>
        <w:rPr>
          <w:noProof/>
        </w:rPr>
        <w:drawing>
          <wp:inline distT="0" distB="0" distL="0" distR="0" wp14:anchorId="0BA902EC" wp14:editId="6DE1D180">
            <wp:extent cx="4320000" cy="2731810"/>
            <wp:effectExtent l="0" t="0" r="0" b="0"/>
            <wp:docPr id="2110891789" name="Imagen 211089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8.png"/>
                    <pic:cNvPicPr/>
                  </pic:nvPicPr>
                  <pic:blipFill>
                    <a:blip r:embed="rId63"/>
                    <a:stretch>
                      <a:fillRect/>
                    </a:stretch>
                  </pic:blipFill>
                  <pic:spPr>
                    <a:xfrm>
                      <a:off x="0" y="0"/>
                      <a:ext cx="4320000" cy="2731810"/>
                    </a:xfrm>
                    <a:prstGeom prst="rect">
                      <a:avLst/>
                    </a:prstGeom>
                  </pic:spPr>
                </pic:pic>
              </a:graphicData>
            </a:graphic>
          </wp:inline>
        </w:drawing>
      </w:r>
    </w:p>
    <w:p w14:paraId="37190E4A" w14:textId="77777777" w:rsidR="00A37447" w:rsidRDefault="00A37447">
      <w:pPr>
        <w:spacing w:before="160"/>
        <w:jc w:val="center"/>
      </w:pPr>
      <w:r>
        <w:rPr>
          <w:noProof/>
        </w:rPr>
        <w:lastRenderedPageBreak/>
        <w:drawing>
          <wp:inline distT="0" distB="0" distL="0" distR="0" wp14:anchorId="0BA902EC" wp14:editId="6DE1D180">
            <wp:extent cx="4320000" cy="2724971"/>
            <wp:effectExtent l="0" t="0" r="0" b="0"/>
            <wp:docPr id="2110891790" name="Imagen 211089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8.png"/>
                    <pic:cNvPicPr/>
                  </pic:nvPicPr>
                  <pic:blipFill>
                    <a:blip r:embed="rId64"/>
                    <a:stretch>
                      <a:fillRect/>
                    </a:stretch>
                  </pic:blipFill>
                  <pic:spPr>
                    <a:xfrm>
                      <a:off x="0" y="0"/>
                      <a:ext cx="4320000" cy="2724971"/>
                    </a:xfrm>
                    <a:prstGeom prst="rect">
                      <a:avLst/>
                    </a:prstGeom>
                  </pic:spPr>
                </pic:pic>
              </a:graphicData>
            </a:graphic>
          </wp:inline>
        </w:drawing>
      </w:r>
    </w:p>
    <w:p w14:paraId="035176FF" w14:textId="77777777" w:rsidR="00A37447" w:rsidRDefault="00A37447">
      <w:pPr>
        <w:keepNext/>
      </w:pPr>
    </w:p>
    <w:p w14:paraId="674ED8D2" w14:textId="77777777" w:rsidR="00A37447" w:rsidRDefault="00A37447">
      <w:pPr>
        <w:keepNext/>
        <w:keepLines/>
        <w:pageBreakBefore/>
        <w:outlineLvl w:val="4"/>
        <w:rPr>
          <w:rFonts w:cs="Arial"/>
          <w:b/>
          <w:bCs/>
        </w:rPr>
      </w:pPr>
      <w:bookmarkStart w:id="18" w:name="_Toc235083030"/>
      <w:r>
        <w:rPr>
          <w:rFonts w:cs="Arial"/>
          <w:b/>
          <w:bCs/>
        </w:rPr>
        <w:lastRenderedPageBreak/>
        <w:t>Contugas (Concesión Ica)</w:t>
      </w:r>
      <w:bookmarkEnd w:id="18"/>
    </w:p>
    <w:tbl>
      <w:tblPr>
        <w:tblW w:w="0" w:type="auto"/>
        <w:tblBorders>
          <w:top w:val="single" w:sz="8" w:space="0" w:color="1F3864"/>
          <w:left w:val="single" w:sz="8" w:space="0" w:color="1F3864"/>
          <w:bottom w:val="single" w:sz="8" w:space="0" w:color="1F3864"/>
          <w:right w:val="single" w:sz="8" w:space="0" w:color="1F3864"/>
          <w:insideV w:val="single" w:sz="4" w:space="0" w:color="D9D9D9"/>
        </w:tblBorders>
        <w:tblLayout w:type="fixed"/>
        <w:tblCellMar>
          <w:top w:w="80" w:type="dxa"/>
          <w:left w:w="80" w:type="dxa"/>
          <w:bottom w:w="80" w:type="dxa"/>
          <w:right w:w="80" w:type="dxa"/>
        </w:tblCellMar>
        <w:tblLook w:val="04A0" w:firstRow="1" w:lastRow="0" w:firstColumn="1" w:lastColumn="0" w:noHBand="0" w:noVBand="1"/>
      </w:tblPr>
      <w:tblGrid>
        <w:gridCol w:w="2100"/>
        <w:gridCol w:w="1775"/>
        <w:gridCol w:w="1775"/>
        <w:gridCol w:w="1775"/>
        <w:gridCol w:w="1775"/>
      </w:tblGrid>
      <w:tr w:rsidR="00855697" w14:paraId="70B31E51" w14:textId="77777777">
        <w:trPr>
          <w:cantSplit/>
          <w:tblHeader/>
        </w:trPr>
        <w:tc>
          <w:tcPr>
            <w:tcW w:w="2100" w:type="dxa"/>
            <w:shd w:val="clear" w:color="auto" w:fill="F2F5FA"/>
            <w:vAlign w:val="center"/>
          </w:tcPr>
          <w:p w14:paraId="56E0D55E" w14:textId="77777777" w:rsidR="00A37447" w:rsidRDefault="00A37447">
            <w:pPr>
              <w:keepNext/>
              <w:jc w:val="center"/>
            </w:pPr>
            <w:r>
              <w:rPr>
                <w:noProof/>
              </w:rPr>
              <w:drawing>
                <wp:inline distT="0" distB="0" distL="0" distR="0" wp14:anchorId="5A344B51" wp14:editId="233A3586">
                  <wp:extent cx="1188000" cy="409441"/>
                  <wp:effectExtent l="0" t="0" r="0" b="0"/>
                  <wp:docPr id="50" name="Picture 2119286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contugas.png"/>
                          <pic:cNvPicPr/>
                        </pic:nvPicPr>
                        <pic:blipFill>
                          <a:blip r:embed="rId65"/>
                          <a:stretch>
                            <a:fillRect/>
                          </a:stretch>
                        </pic:blipFill>
                        <pic:spPr>
                          <a:xfrm>
                            <a:off x="0" y="0"/>
                            <a:ext cx="1188000" cy="409441"/>
                          </a:xfrm>
                          <a:prstGeom prst="rect">
                            <a:avLst/>
                          </a:prstGeom>
                        </pic:spPr>
                      </pic:pic>
                    </a:graphicData>
                  </a:graphic>
                </wp:inline>
              </w:drawing>
            </w:r>
          </w:p>
        </w:tc>
        <w:tc>
          <w:tcPr>
            <w:tcW w:w="1775" w:type="dxa"/>
            <w:noWrap/>
            <w:vAlign w:val="center"/>
          </w:tcPr>
          <w:p w14:paraId="0A666945" w14:textId="77777777" w:rsidR="00A37447" w:rsidRDefault="00A37447">
            <w:pPr>
              <w:keepNext/>
              <w:jc w:val="center"/>
            </w:pPr>
            <w:r>
              <w:rPr>
                <w:b/>
                <w:color w:val="00838F"/>
                <w:sz w:val="25"/>
              </w:rPr>
              <w:t>105.560</w:t>
            </w:r>
          </w:p>
          <w:p w14:paraId="15E121AF" w14:textId="77777777" w:rsidR="00A37447" w:rsidRDefault="00A37447">
            <w:pPr>
              <w:keepNext/>
              <w:jc w:val="center"/>
            </w:pPr>
            <w:r>
              <w:rPr>
                <w:color w:val="595959"/>
                <w:sz w:val="14"/>
              </w:rPr>
              <w:t>CLIENTES TOTALES</w:t>
            </w:r>
          </w:p>
        </w:tc>
        <w:tc>
          <w:tcPr>
            <w:tcW w:w="1775" w:type="dxa"/>
            <w:noWrap/>
            <w:vAlign w:val="center"/>
          </w:tcPr>
          <w:p w14:paraId="78D5F117" w14:textId="77777777" w:rsidR="00A37447" w:rsidRDefault="00A37447">
            <w:pPr>
              <w:keepNext/>
              <w:jc w:val="center"/>
            </w:pPr>
            <w:r>
              <w:rPr>
                <w:b/>
                <w:color w:val="00838F"/>
                <w:sz w:val="25"/>
              </w:rPr>
              <w:t>105.491</w:t>
            </w:r>
          </w:p>
          <w:p w14:paraId="428EFA3D" w14:textId="77777777" w:rsidR="00A37447" w:rsidRDefault="00A37447">
            <w:pPr>
              <w:keepNext/>
              <w:jc w:val="center"/>
            </w:pPr>
            <w:r>
              <w:rPr>
                <w:color w:val="595959"/>
                <w:sz w:val="14"/>
              </w:rPr>
              <w:t>RESIDENCIAL Y COMERCIAL</w:t>
            </w:r>
          </w:p>
        </w:tc>
        <w:tc>
          <w:tcPr>
            <w:tcW w:w="1775" w:type="dxa"/>
            <w:noWrap/>
            <w:vAlign w:val="center"/>
          </w:tcPr>
          <w:p w14:paraId="0222CBCF" w14:textId="77777777" w:rsidR="00A37447" w:rsidRDefault="00A37447">
            <w:pPr>
              <w:keepNext/>
              <w:jc w:val="center"/>
            </w:pPr>
            <w:r>
              <w:rPr>
                <w:b/>
                <w:color w:val="00838F"/>
                <w:sz w:val="25"/>
              </w:rPr>
              <w:t>61 %</w:t>
            </w:r>
          </w:p>
          <w:p w14:paraId="0BF168EB" w14:textId="77777777" w:rsidR="00A37447" w:rsidRDefault="00A37447">
            <w:pPr>
              <w:keepNext/>
              <w:jc w:val="center"/>
            </w:pPr>
            <w:r>
              <w:rPr>
                <w:color w:val="595959"/>
                <w:sz w:val="14"/>
              </w:rPr>
              <w:t>PENETRACIÓN</w:t>
            </w:r>
          </w:p>
        </w:tc>
        <w:tc>
          <w:tcPr>
            <w:tcW w:w="1775" w:type="dxa"/>
            <w:noWrap/>
            <w:vAlign w:val="center"/>
          </w:tcPr>
          <w:p w14:paraId="4752B300" w14:textId="77777777" w:rsidR="00A37447" w:rsidRDefault="00A37447">
            <w:pPr>
              <w:keepNext/>
              <w:jc w:val="center"/>
            </w:pPr>
            <w:r>
              <w:rPr>
                <w:b/>
                <w:color w:val="00838F"/>
              </w:rPr>
              <w:t>28,3 MMpcd</w:t>
            </w:r>
          </w:p>
          <w:p w14:paraId="4AA9D73D" w14:textId="77777777" w:rsidR="00A37447" w:rsidRDefault="00A37447">
            <w:pPr>
              <w:keepNext/>
              <w:jc w:val="center"/>
            </w:pPr>
            <w:r>
              <w:rPr>
                <w:color w:val="595959"/>
                <w:sz w:val="14"/>
              </w:rPr>
              <w:t>VOLUMEN VENDIDO</w:t>
            </w:r>
          </w:p>
        </w:tc>
      </w:tr>
    </w:tbl>
    <w:p w14:paraId="17F1F964" w14:textId="77777777" w:rsidR="00A37447" w:rsidRPr="0036111A" w:rsidRDefault="00A37447">
      <w:pPr>
        <w:keepNext/>
        <w:keepLines/>
        <w:rPr>
          <w:rFonts w:cs="Arial"/>
          <w:lang w:val="es-PE"/>
        </w:rPr>
      </w:pPr>
      <w:r w:rsidRPr="0036111A">
        <w:rPr>
          <w:rFonts w:cs="Arial"/>
          <w:lang w:val="es-PE"/>
        </w:rPr>
        <w:t>Contugas opera la Concesión Ica, adjudicada en 2008 e íntegramente controlada por Grupo Energía Bogotá. Inició operación comercial en abril de 2014, tras construir el gasoducto que la conecta a la red troncal de Camisea, y atiende a las provincias de Chincha, Pisco, Ica y Nasca. La vigencia de la concesión es hasta 2042.</w:t>
      </w:r>
    </w:p>
    <w:p w14:paraId="486F8C30" w14:textId="77777777" w:rsidR="00A37447" w:rsidRPr="00786EA0" w:rsidRDefault="00A37447">
      <w:pPr>
        <w:keepNext/>
        <w:keepLines/>
        <w:spacing w:before="160" w:after="20"/>
        <w:rPr>
          <w:lang w:val="es-PE"/>
        </w:rPr>
      </w:pPr>
      <w:r w:rsidRPr="00786EA0">
        <w:rPr>
          <w:b/>
          <w:color w:val="00838F"/>
          <w:sz w:val="20"/>
          <w:lang w:val="es-PE"/>
        </w:rPr>
        <w:t>CONTUGAS: CLIENTES POR SEGMENTO</w:t>
      </w:r>
    </w:p>
    <w:p w14:paraId="7A61D6DD" w14:textId="77777777" w:rsidR="00A37447" w:rsidRDefault="00A37447">
      <w:pPr>
        <w:keepNext/>
        <w:keepLines/>
        <w:spacing w:after="60"/>
      </w:pPr>
      <w:r>
        <w:rPr>
          <w:i/>
          <w:sz w:val="17"/>
        </w:rPr>
        <w:t>Cantidad de conexiones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63932B26" w14:textId="77777777">
        <w:trPr>
          <w:cantSplit/>
          <w:tblHeader/>
        </w:trPr>
        <w:tc>
          <w:tcPr>
            <w:tcW w:w="1063" w:type="dxa"/>
            <w:shd w:val="clear" w:color="auto" w:fill="1F3864"/>
          </w:tcPr>
          <w:p w14:paraId="167CDCCA" w14:textId="77777777" w:rsidR="00A37447" w:rsidRDefault="00A37447">
            <w:pPr>
              <w:keepNext/>
            </w:pPr>
            <w:r>
              <w:rPr>
                <w:b/>
                <w:color w:val="FFFFFF"/>
                <w:sz w:val="17"/>
              </w:rPr>
              <w:t>Sector</w:t>
            </w:r>
          </w:p>
        </w:tc>
        <w:tc>
          <w:tcPr>
            <w:tcW w:w="1063" w:type="dxa"/>
            <w:shd w:val="clear" w:color="auto" w:fill="1F3864"/>
            <w:noWrap/>
          </w:tcPr>
          <w:p w14:paraId="4F2EF8A4" w14:textId="77777777" w:rsidR="00A37447" w:rsidRDefault="00A37447">
            <w:pPr>
              <w:keepNext/>
              <w:jc w:val="right"/>
            </w:pPr>
            <w:r>
              <w:rPr>
                <w:b/>
                <w:color w:val="FFFFFF"/>
                <w:sz w:val="17"/>
              </w:rPr>
              <w:t>2021</w:t>
            </w:r>
          </w:p>
        </w:tc>
        <w:tc>
          <w:tcPr>
            <w:tcW w:w="1063" w:type="dxa"/>
            <w:shd w:val="clear" w:color="auto" w:fill="1F3864"/>
            <w:noWrap/>
          </w:tcPr>
          <w:p w14:paraId="58057B73" w14:textId="77777777" w:rsidR="00A37447" w:rsidRDefault="00A37447">
            <w:pPr>
              <w:keepNext/>
              <w:jc w:val="right"/>
            </w:pPr>
            <w:r>
              <w:rPr>
                <w:b/>
                <w:color w:val="FFFFFF"/>
                <w:sz w:val="17"/>
              </w:rPr>
              <w:t>2022</w:t>
            </w:r>
          </w:p>
        </w:tc>
        <w:tc>
          <w:tcPr>
            <w:tcW w:w="1063" w:type="dxa"/>
            <w:shd w:val="clear" w:color="auto" w:fill="1F3864"/>
            <w:noWrap/>
          </w:tcPr>
          <w:p w14:paraId="655DDCBE" w14:textId="77777777" w:rsidR="00A37447" w:rsidRDefault="00A37447">
            <w:pPr>
              <w:keepNext/>
              <w:jc w:val="right"/>
            </w:pPr>
            <w:r>
              <w:rPr>
                <w:b/>
                <w:color w:val="FFFFFF"/>
                <w:sz w:val="17"/>
              </w:rPr>
              <w:t>2023</w:t>
            </w:r>
          </w:p>
        </w:tc>
        <w:tc>
          <w:tcPr>
            <w:tcW w:w="1063" w:type="dxa"/>
            <w:shd w:val="clear" w:color="auto" w:fill="1F3864"/>
            <w:noWrap/>
          </w:tcPr>
          <w:p w14:paraId="5CEA496D" w14:textId="77777777" w:rsidR="00A37447" w:rsidRDefault="00A37447">
            <w:pPr>
              <w:keepNext/>
              <w:jc w:val="right"/>
            </w:pPr>
            <w:r>
              <w:rPr>
                <w:b/>
                <w:color w:val="FFFFFF"/>
                <w:sz w:val="17"/>
              </w:rPr>
              <w:t>2024</w:t>
            </w:r>
          </w:p>
        </w:tc>
        <w:tc>
          <w:tcPr>
            <w:tcW w:w="1063" w:type="dxa"/>
            <w:shd w:val="clear" w:color="auto" w:fill="1F3864"/>
            <w:noWrap/>
          </w:tcPr>
          <w:p w14:paraId="230FC3B9" w14:textId="77777777" w:rsidR="00A37447" w:rsidRDefault="00A37447">
            <w:pPr>
              <w:keepNext/>
              <w:jc w:val="right"/>
            </w:pPr>
            <w:r>
              <w:rPr>
                <w:b/>
                <w:color w:val="FFFFFF"/>
                <w:sz w:val="17"/>
              </w:rPr>
              <w:t>2025</w:t>
            </w:r>
          </w:p>
        </w:tc>
        <w:tc>
          <w:tcPr>
            <w:tcW w:w="1063" w:type="dxa"/>
            <w:shd w:val="clear" w:color="auto" w:fill="1F3864"/>
          </w:tcPr>
          <w:p w14:paraId="2ED463FA" w14:textId="77777777" w:rsidR="00A37447" w:rsidRDefault="00A37447">
            <w:pPr>
              <w:keepNext/>
              <w:jc w:val="right"/>
            </w:pPr>
            <w:r>
              <w:rPr>
                <w:b/>
                <w:color w:val="FFFFFF"/>
                <w:sz w:val="17"/>
              </w:rPr>
              <w:t>Var. % 2025 vs 2024</w:t>
            </w:r>
          </w:p>
        </w:tc>
        <w:tc>
          <w:tcPr>
            <w:tcW w:w="1063" w:type="dxa"/>
            <w:shd w:val="clear" w:color="auto" w:fill="1F3864"/>
          </w:tcPr>
          <w:p w14:paraId="250C4A82" w14:textId="77777777" w:rsidR="00A37447" w:rsidRDefault="00A37447">
            <w:pPr>
              <w:keepNext/>
              <w:jc w:val="right"/>
            </w:pPr>
            <w:r>
              <w:rPr>
                <w:b/>
                <w:color w:val="FFFFFF"/>
                <w:sz w:val="17"/>
              </w:rPr>
              <w:t>TACC 2021-2025</w:t>
            </w:r>
          </w:p>
        </w:tc>
      </w:tr>
      <w:tr w:rsidR="00855697" w14:paraId="4036242B" w14:textId="77777777">
        <w:trPr>
          <w:cantSplit/>
        </w:trPr>
        <w:tc>
          <w:tcPr>
            <w:tcW w:w="1063" w:type="dxa"/>
          </w:tcPr>
          <w:p w14:paraId="1FEB4D6A" w14:textId="77777777" w:rsidR="00A37447" w:rsidRDefault="00A37447">
            <w:pPr>
              <w:keepNext/>
              <w:spacing w:after="20"/>
            </w:pPr>
            <w:r>
              <w:rPr>
                <w:sz w:val="17"/>
              </w:rPr>
              <w:t>Residencial y comercial</w:t>
            </w:r>
          </w:p>
        </w:tc>
        <w:tc>
          <w:tcPr>
            <w:tcW w:w="1063" w:type="dxa"/>
            <w:noWrap/>
          </w:tcPr>
          <w:p w14:paraId="2105919C" w14:textId="77777777" w:rsidR="00A37447" w:rsidRDefault="00A37447">
            <w:pPr>
              <w:keepNext/>
              <w:spacing w:after="20"/>
              <w:jc w:val="right"/>
            </w:pPr>
            <w:r>
              <w:rPr>
                <w:sz w:val="16"/>
              </w:rPr>
              <w:t>69.054</w:t>
            </w:r>
          </w:p>
        </w:tc>
        <w:tc>
          <w:tcPr>
            <w:tcW w:w="1063" w:type="dxa"/>
            <w:noWrap/>
          </w:tcPr>
          <w:p w14:paraId="6DAFC6B1" w14:textId="77777777" w:rsidR="00A37447" w:rsidRDefault="00A37447">
            <w:pPr>
              <w:keepNext/>
              <w:spacing w:after="20"/>
              <w:jc w:val="right"/>
            </w:pPr>
            <w:r>
              <w:rPr>
                <w:sz w:val="16"/>
              </w:rPr>
              <w:t>74.368</w:t>
            </w:r>
          </w:p>
        </w:tc>
        <w:tc>
          <w:tcPr>
            <w:tcW w:w="1063" w:type="dxa"/>
            <w:noWrap/>
          </w:tcPr>
          <w:p w14:paraId="0B6656E9" w14:textId="77777777" w:rsidR="00A37447" w:rsidRDefault="00A37447">
            <w:pPr>
              <w:keepNext/>
              <w:spacing w:after="20"/>
              <w:jc w:val="right"/>
            </w:pPr>
            <w:r>
              <w:rPr>
                <w:sz w:val="16"/>
              </w:rPr>
              <w:t>89.843</w:t>
            </w:r>
          </w:p>
        </w:tc>
        <w:tc>
          <w:tcPr>
            <w:tcW w:w="1063" w:type="dxa"/>
            <w:noWrap/>
          </w:tcPr>
          <w:p w14:paraId="7020DD9E" w14:textId="77777777" w:rsidR="00A37447" w:rsidRDefault="00A37447">
            <w:pPr>
              <w:keepNext/>
              <w:spacing w:after="20"/>
              <w:jc w:val="right"/>
            </w:pPr>
            <w:r>
              <w:rPr>
                <w:sz w:val="16"/>
              </w:rPr>
              <w:t>103.859</w:t>
            </w:r>
          </w:p>
        </w:tc>
        <w:tc>
          <w:tcPr>
            <w:tcW w:w="1063" w:type="dxa"/>
            <w:noWrap/>
          </w:tcPr>
          <w:p w14:paraId="37E2E059" w14:textId="77777777" w:rsidR="00A37447" w:rsidRDefault="00A37447">
            <w:pPr>
              <w:keepNext/>
              <w:spacing w:after="20"/>
              <w:jc w:val="right"/>
            </w:pPr>
            <w:r>
              <w:rPr>
                <w:sz w:val="16"/>
              </w:rPr>
              <w:t>105.491</w:t>
            </w:r>
          </w:p>
        </w:tc>
        <w:tc>
          <w:tcPr>
            <w:tcW w:w="1063" w:type="dxa"/>
            <w:noWrap/>
          </w:tcPr>
          <w:p w14:paraId="15C58A2E" w14:textId="77777777" w:rsidR="00A37447" w:rsidRDefault="00A37447">
            <w:pPr>
              <w:keepNext/>
              <w:spacing w:after="20"/>
              <w:jc w:val="right"/>
            </w:pPr>
            <w:r>
              <w:rPr>
                <w:sz w:val="16"/>
              </w:rPr>
              <w:t>1,6 %</w:t>
            </w:r>
          </w:p>
        </w:tc>
        <w:tc>
          <w:tcPr>
            <w:tcW w:w="1063" w:type="dxa"/>
            <w:noWrap/>
          </w:tcPr>
          <w:p w14:paraId="5652C400" w14:textId="77777777" w:rsidR="00A37447" w:rsidRDefault="00A37447">
            <w:pPr>
              <w:keepNext/>
              <w:spacing w:after="20"/>
              <w:jc w:val="right"/>
            </w:pPr>
            <w:r>
              <w:rPr>
                <w:sz w:val="16"/>
              </w:rPr>
              <w:t>11,2 %</w:t>
            </w:r>
          </w:p>
        </w:tc>
      </w:tr>
      <w:tr w:rsidR="00855697" w14:paraId="3228847C" w14:textId="77777777">
        <w:trPr>
          <w:cantSplit/>
        </w:trPr>
        <w:tc>
          <w:tcPr>
            <w:tcW w:w="1063" w:type="dxa"/>
            <w:noWrap/>
          </w:tcPr>
          <w:p w14:paraId="78165C3C" w14:textId="77777777" w:rsidR="00A37447" w:rsidRDefault="00A37447">
            <w:pPr>
              <w:keepNext/>
              <w:spacing w:after="20"/>
            </w:pPr>
            <w:r>
              <w:rPr>
                <w:sz w:val="17"/>
              </w:rPr>
              <w:t>Industrial</w:t>
            </w:r>
          </w:p>
        </w:tc>
        <w:tc>
          <w:tcPr>
            <w:tcW w:w="1063" w:type="dxa"/>
            <w:noWrap/>
          </w:tcPr>
          <w:p w14:paraId="0CDD691A" w14:textId="77777777" w:rsidR="00A37447" w:rsidRDefault="00A37447">
            <w:pPr>
              <w:keepNext/>
              <w:spacing w:after="20"/>
              <w:jc w:val="right"/>
            </w:pPr>
            <w:r>
              <w:rPr>
                <w:sz w:val="16"/>
              </w:rPr>
              <w:t>43</w:t>
            </w:r>
          </w:p>
        </w:tc>
        <w:tc>
          <w:tcPr>
            <w:tcW w:w="1063" w:type="dxa"/>
            <w:noWrap/>
          </w:tcPr>
          <w:p w14:paraId="2515D54D" w14:textId="77777777" w:rsidR="00A37447" w:rsidRDefault="00A37447">
            <w:pPr>
              <w:keepNext/>
              <w:spacing w:after="20"/>
              <w:jc w:val="right"/>
            </w:pPr>
            <w:r>
              <w:rPr>
                <w:sz w:val="16"/>
              </w:rPr>
              <w:t>36</w:t>
            </w:r>
          </w:p>
        </w:tc>
        <w:tc>
          <w:tcPr>
            <w:tcW w:w="1063" w:type="dxa"/>
            <w:noWrap/>
          </w:tcPr>
          <w:p w14:paraId="51A4B00E" w14:textId="77777777" w:rsidR="00A37447" w:rsidRDefault="00A37447">
            <w:pPr>
              <w:keepNext/>
              <w:spacing w:after="20"/>
              <w:jc w:val="right"/>
            </w:pPr>
            <w:r>
              <w:rPr>
                <w:sz w:val="16"/>
              </w:rPr>
              <w:t>39</w:t>
            </w:r>
          </w:p>
        </w:tc>
        <w:tc>
          <w:tcPr>
            <w:tcW w:w="1063" w:type="dxa"/>
            <w:noWrap/>
          </w:tcPr>
          <w:p w14:paraId="3602F50F" w14:textId="77777777" w:rsidR="00A37447" w:rsidRDefault="00A37447">
            <w:pPr>
              <w:keepNext/>
              <w:spacing w:after="20"/>
              <w:jc w:val="right"/>
            </w:pPr>
            <w:r>
              <w:rPr>
                <w:sz w:val="16"/>
              </w:rPr>
              <w:t>43</w:t>
            </w:r>
          </w:p>
        </w:tc>
        <w:tc>
          <w:tcPr>
            <w:tcW w:w="1063" w:type="dxa"/>
            <w:noWrap/>
          </w:tcPr>
          <w:p w14:paraId="2A801079" w14:textId="77777777" w:rsidR="00A37447" w:rsidRDefault="00A37447">
            <w:pPr>
              <w:keepNext/>
              <w:spacing w:after="20"/>
              <w:jc w:val="right"/>
            </w:pPr>
            <w:r>
              <w:rPr>
                <w:sz w:val="16"/>
              </w:rPr>
              <w:t>43</w:t>
            </w:r>
          </w:p>
        </w:tc>
        <w:tc>
          <w:tcPr>
            <w:tcW w:w="1063" w:type="dxa"/>
            <w:noWrap/>
          </w:tcPr>
          <w:p w14:paraId="0E04CB80" w14:textId="77777777" w:rsidR="00A37447" w:rsidRDefault="00A37447">
            <w:pPr>
              <w:keepNext/>
              <w:spacing w:after="20"/>
              <w:jc w:val="right"/>
            </w:pPr>
            <w:r>
              <w:rPr>
                <w:sz w:val="16"/>
              </w:rPr>
              <w:t>0,0 %</w:t>
            </w:r>
          </w:p>
        </w:tc>
        <w:tc>
          <w:tcPr>
            <w:tcW w:w="1063" w:type="dxa"/>
            <w:noWrap/>
          </w:tcPr>
          <w:p w14:paraId="68FFA34C" w14:textId="77777777" w:rsidR="00A37447" w:rsidRDefault="00A37447">
            <w:pPr>
              <w:keepNext/>
              <w:spacing w:after="20"/>
              <w:jc w:val="right"/>
            </w:pPr>
            <w:r>
              <w:rPr>
                <w:sz w:val="16"/>
              </w:rPr>
              <w:t>0,0 %</w:t>
            </w:r>
          </w:p>
        </w:tc>
      </w:tr>
      <w:tr w:rsidR="00855697" w14:paraId="1CF7264F" w14:textId="77777777">
        <w:trPr>
          <w:cantSplit/>
        </w:trPr>
        <w:tc>
          <w:tcPr>
            <w:tcW w:w="1063" w:type="dxa"/>
          </w:tcPr>
          <w:p w14:paraId="576F55C6" w14:textId="77777777" w:rsidR="00A37447" w:rsidRPr="0036111A" w:rsidRDefault="00A37447">
            <w:pPr>
              <w:keepNext/>
              <w:spacing w:after="20"/>
              <w:rPr>
                <w:lang w:val="es-PE"/>
              </w:rPr>
            </w:pPr>
            <w:r w:rsidRPr="0036111A">
              <w:rPr>
                <w:sz w:val="17"/>
                <w:lang w:val="es-PE"/>
              </w:rPr>
              <w:t>Estaciones de servicio de GNV</w:t>
            </w:r>
          </w:p>
        </w:tc>
        <w:tc>
          <w:tcPr>
            <w:tcW w:w="1063" w:type="dxa"/>
            <w:noWrap/>
          </w:tcPr>
          <w:p w14:paraId="653A66C4" w14:textId="77777777" w:rsidR="00A37447" w:rsidRDefault="00A37447">
            <w:pPr>
              <w:keepNext/>
              <w:spacing w:after="20"/>
              <w:jc w:val="right"/>
            </w:pPr>
            <w:r>
              <w:rPr>
                <w:sz w:val="16"/>
              </w:rPr>
              <w:t>14</w:t>
            </w:r>
          </w:p>
        </w:tc>
        <w:tc>
          <w:tcPr>
            <w:tcW w:w="1063" w:type="dxa"/>
            <w:noWrap/>
          </w:tcPr>
          <w:p w14:paraId="0C85653E" w14:textId="77777777" w:rsidR="00A37447" w:rsidRDefault="00A37447">
            <w:pPr>
              <w:keepNext/>
              <w:spacing w:after="20"/>
              <w:jc w:val="right"/>
            </w:pPr>
            <w:r>
              <w:rPr>
                <w:sz w:val="16"/>
              </w:rPr>
              <w:t>14</w:t>
            </w:r>
          </w:p>
        </w:tc>
        <w:tc>
          <w:tcPr>
            <w:tcW w:w="1063" w:type="dxa"/>
            <w:noWrap/>
          </w:tcPr>
          <w:p w14:paraId="7489AE8C" w14:textId="77777777" w:rsidR="00A37447" w:rsidRDefault="00A37447">
            <w:pPr>
              <w:keepNext/>
              <w:spacing w:after="20"/>
              <w:jc w:val="right"/>
            </w:pPr>
            <w:r>
              <w:rPr>
                <w:sz w:val="16"/>
              </w:rPr>
              <w:t>14</w:t>
            </w:r>
          </w:p>
        </w:tc>
        <w:tc>
          <w:tcPr>
            <w:tcW w:w="1063" w:type="dxa"/>
            <w:noWrap/>
          </w:tcPr>
          <w:p w14:paraId="60FA2572" w14:textId="77777777" w:rsidR="00A37447" w:rsidRDefault="00A37447">
            <w:pPr>
              <w:keepNext/>
              <w:spacing w:after="20"/>
              <w:jc w:val="right"/>
            </w:pPr>
            <w:r>
              <w:rPr>
                <w:sz w:val="16"/>
              </w:rPr>
              <w:t>14</w:t>
            </w:r>
          </w:p>
        </w:tc>
        <w:tc>
          <w:tcPr>
            <w:tcW w:w="1063" w:type="dxa"/>
            <w:noWrap/>
          </w:tcPr>
          <w:p w14:paraId="777B7887" w14:textId="77777777" w:rsidR="00A37447" w:rsidRDefault="00A37447">
            <w:pPr>
              <w:keepNext/>
              <w:spacing w:after="20"/>
              <w:jc w:val="right"/>
            </w:pPr>
            <w:r>
              <w:rPr>
                <w:sz w:val="16"/>
              </w:rPr>
              <w:t>15</w:t>
            </w:r>
          </w:p>
        </w:tc>
        <w:tc>
          <w:tcPr>
            <w:tcW w:w="1063" w:type="dxa"/>
            <w:noWrap/>
          </w:tcPr>
          <w:p w14:paraId="56CBC562" w14:textId="77777777" w:rsidR="00A37447" w:rsidRDefault="00A37447">
            <w:pPr>
              <w:keepNext/>
              <w:spacing w:after="20"/>
              <w:jc w:val="right"/>
            </w:pPr>
            <w:r>
              <w:rPr>
                <w:sz w:val="16"/>
              </w:rPr>
              <w:t>7,1 %</w:t>
            </w:r>
          </w:p>
        </w:tc>
        <w:tc>
          <w:tcPr>
            <w:tcW w:w="1063" w:type="dxa"/>
            <w:noWrap/>
          </w:tcPr>
          <w:p w14:paraId="626021A2" w14:textId="77777777" w:rsidR="00A37447" w:rsidRDefault="00A37447">
            <w:pPr>
              <w:keepNext/>
              <w:spacing w:after="20"/>
              <w:jc w:val="right"/>
            </w:pPr>
            <w:r>
              <w:rPr>
                <w:sz w:val="16"/>
              </w:rPr>
              <w:t>1,7 %</w:t>
            </w:r>
          </w:p>
        </w:tc>
      </w:tr>
      <w:tr w:rsidR="00855697" w14:paraId="1C80C6C7" w14:textId="77777777">
        <w:trPr>
          <w:cantSplit/>
        </w:trPr>
        <w:tc>
          <w:tcPr>
            <w:tcW w:w="1063" w:type="dxa"/>
          </w:tcPr>
          <w:p w14:paraId="50857219" w14:textId="77777777" w:rsidR="00A37447" w:rsidRDefault="00A37447">
            <w:pPr>
              <w:keepNext/>
              <w:spacing w:after="20"/>
            </w:pPr>
            <w:r>
              <w:rPr>
                <w:sz w:val="17"/>
              </w:rPr>
              <w:t>Generación eléctrica</w:t>
            </w:r>
          </w:p>
        </w:tc>
        <w:tc>
          <w:tcPr>
            <w:tcW w:w="1063" w:type="dxa"/>
            <w:noWrap/>
          </w:tcPr>
          <w:p w14:paraId="2A771B46" w14:textId="77777777" w:rsidR="00A37447" w:rsidRDefault="00A37447">
            <w:pPr>
              <w:keepNext/>
              <w:spacing w:after="20"/>
              <w:jc w:val="right"/>
            </w:pPr>
            <w:r>
              <w:rPr>
                <w:sz w:val="16"/>
              </w:rPr>
              <w:t>7</w:t>
            </w:r>
          </w:p>
        </w:tc>
        <w:tc>
          <w:tcPr>
            <w:tcW w:w="1063" w:type="dxa"/>
            <w:noWrap/>
          </w:tcPr>
          <w:p w14:paraId="365E1F60" w14:textId="77777777" w:rsidR="00A37447" w:rsidRDefault="00A37447">
            <w:pPr>
              <w:keepNext/>
              <w:spacing w:after="20"/>
              <w:jc w:val="right"/>
            </w:pPr>
            <w:r>
              <w:rPr>
                <w:sz w:val="16"/>
              </w:rPr>
              <w:t>9</w:t>
            </w:r>
          </w:p>
        </w:tc>
        <w:tc>
          <w:tcPr>
            <w:tcW w:w="1063" w:type="dxa"/>
            <w:noWrap/>
          </w:tcPr>
          <w:p w14:paraId="53E682A3" w14:textId="77777777" w:rsidR="00A37447" w:rsidRDefault="00A37447">
            <w:pPr>
              <w:keepNext/>
              <w:spacing w:after="20"/>
              <w:jc w:val="right"/>
            </w:pPr>
            <w:r>
              <w:rPr>
                <w:sz w:val="16"/>
              </w:rPr>
              <w:t>9</w:t>
            </w:r>
          </w:p>
        </w:tc>
        <w:tc>
          <w:tcPr>
            <w:tcW w:w="1063" w:type="dxa"/>
            <w:noWrap/>
          </w:tcPr>
          <w:p w14:paraId="4D2E7C1C" w14:textId="77777777" w:rsidR="00A37447" w:rsidRDefault="00A37447">
            <w:pPr>
              <w:keepNext/>
              <w:spacing w:after="20"/>
              <w:jc w:val="right"/>
            </w:pPr>
            <w:r>
              <w:rPr>
                <w:sz w:val="16"/>
              </w:rPr>
              <w:t>11</w:t>
            </w:r>
          </w:p>
        </w:tc>
        <w:tc>
          <w:tcPr>
            <w:tcW w:w="1063" w:type="dxa"/>
            <w:noWrap/>
          </w:tcPr>
          <w:p w14:paraId="0B5C104C" w14:textId="77777777" w:rsidR="00A37447" w:rsidRDefault="00A37447">
            <w:pPr>
              <w:keepNext/>
              <w:spacing w:after="20"/>
              <w:jc w:val="right"/>
            </w:pPr>
            <w:r>
              <w:rPr>
                <w:sz w:val="16"/>
              </w:rPr>
              <w:t>11</w:t>
            </w:r>
          </w:p>
        </w:tc>
        <w:tc>
          <w:tcPr>
            <w:tcW w:w="1063" w:type="dxa"/>
            <w:noWrap/>
          </w:tcPr>
          <w:p w14:paraId="65E9EA15" w14:textId="77777777" w:rsidR="00A37447" w:rsidRDefault="00A37447">
            <w:pPr>
              <w:keepNext/>
              <w:spacing w:after="20"/>
              <w:jc w:val="right"/>
            </w:pPr>
            <w:r>
              <w:rPr>
                <w:sz w:val="16"/>
              </w:rPr>
              <w:t>0,0 %</w:t>
            </w:r>
          </w:p>
        </w:tc>
        <w:tc>
          <w:tcPr>
            <w:tcW w:w="1063" w:type="dxa"/>
            <w:noWrap/>
          </w:tcPr>
          <w:p w14:paraId="59C6037D" w14:textId="77777777" w:rsidR="00A37447" w:rsidRDefault="00A37447">
            <w:pPr>
              <w:keepNext/>
              <w:spacing w:after="20"/>
              <w:jc w:val="right"/>
            </w:pPr>
            <w:r>
              <w:rPr>
                <w:sz w:val="16"/>
              </w:rPr>
              <w:t>12,0 %</w:t>
            </w:r>
          </w:p>
        </w:tc>
      </w:tr>
      <w:tr w:rsidR="00855697" w14:paraId="06A2DD9C" w14:textId="77777777">
        <w:trPr>
          <w:cantSplit/>
        </w:trPr>
        <w:tc>
          <w:tcPr>
            <w:tcW w:w="1063" w:type="dxa"/>
            <w:noWrap/>
          </w:tcPr>
          <w:p w14:paraId="13567725" w14:textId="77777777" w:rsidR="00A37447" w:rsidRDefault="00A37447">
            <w:pPr>
              <w:keepNext/>
              <w:spacing w:after="20"/>
            </w:pPr>
            <w:r>
              <w:rPr>
                <w:b/>
                <w:sz w:val="17"/>
              </w:rPr>
              <w:t>Total</w:t>
            </w:r>
          </w:p>
        </w:tc>
        <w:tc>
          <w:tcPr>
            <w:tcW w:w="1063" w:type="dxa"/>
            <w:noWrap/>
          </w:tcPr>
          <w:p w14:paraId="7725786A" w14:textId="77777777" w:rsidR="00A37447" w:rsidRDefault="00A37447">
            <w:pPr>
              <w:keepNext/>
              <w:spacing w:after="20"/>
              <w:jc w:val="right"/>
            </w:pPr>
            <w:r>
              <w:rPr>
                <w:sz w:val="16"/>
              </w:rPr>
              <w:t>69.118</w:t>
            </w:r>
          </w:p>
        </w:tc>
        <w:tc>
          <w:tcPr>
            <w:tcW w:w="1063" w:type="dxa"/>
            <w:noWrap/>
          </w:tcPr>
          <w:p w14:paraId="738980A0" w14:textId="77777777" w:rsidR="00A37447" w:rsidRDefault="00A37447">
            <w:pPr>
              <w:keepNext/>
              <w:spacing w:after="20"/>
              <w:jc w:val="right"/>
            </w:pPr>
            <w:r>
              <w:rPr>
                <w:sz w:val="16"/>
              </w:rPr>
              <w:t>74.427</w:t>
            </w:r>
          </w:p>
        </w:tc>
        <w:tc>
          <w:tcPr>
            <w:tcW w:w="1063" w:type="dxa"/>
            <w:noWrap/>
          </w:tcPr>
          <w:p w14:paraId="7D187FB8" w14:textId="77777777" w:rsidR="00A37447" w:rsidRDefault="00A37447">
            <w:pPr>
              <w:keepNext/>
              <w:spacing w:after="20"/>
              <w:jc w:val="right"/>
            </w:pPr>
            <w:r>
              <w:rPr>
                <w:sz w:val="16"/>
              </w:rPr>
              <w:t>89.905</w:t>
            </w:r>
          </w:p>
        </w:tc>
        <w:tc>
          <w:tcPr>
            <w:tcW w:w="1063" w:type="dxa"/>
            <w:noWrap/>
          </w:tcPr>
          <w:p w14:paraId="2FE8B0F4" w14:textId="77777777" w:rsidR="00A37447" w:rsidRDefault="00A37447">
            <w:pPr>
              <w:keepNext/>
              <w:spacing w:after="20"/>
              <w:jc w:val="right"/>
            </w:pPr>
            <w:r>
              <w:rPr>
                <w:sz w:val="16"/>
              </w:rPr>
              <w:t>103.927</w:t>
            </w:r>
          </w:p>
        </w:tc>
        <w:tc>
          <w:tcPr>
            <w:tcW w:w="1063" w:type="dxa"/>
            <w:noWrap/>
          </w:tcPr>
          <w:p w14:paraId="0CD944E7" w14:textId="77777777" w:rsidR="00A37447" w:rsidRDefault="00A37447">
            <w:pPr>
              <w:keepNext/>
              <w:spacing w:after="20"/>
              <w:jc w:val="right"/>
            </w:pPr>
            <w:r>
              <w:rPr>
                <w:sz w:val="16"/>
              </w:rPr>
              <w:t>105.560</w:t>
            </w:r>
          </w:p>
        </w:tc>
        <w:tc>
          <w:tcPr>
            <w:tcW w:w="1063" w:type="dxa"/>
            <w:noWrap/>
          </w:tcPr>
          <w:p w14:paraId="0635179B" w14:textId="77777777" w:rsidR="00A37447" w:rsidRDefault="00A37447">
            <w:pPr>
              <w:keepNext/>
              <w:spacing w:after="20"/>
              <w:jc w:val="right"/>
            </w:pPr>
            <w:r>
              <w:rPr>
                <w:sz w:val="16"/>
              </w:rPr>
              <w:t>1,6 %</w:t>
            </w:r>
          </w:p>
        </w:tc>
        <w:tc>
          <w:tcPr>
            <w:tcW w:w="1063" w:type="dxa"/>
            <w:noWrap/>
          </w:tcPr>
          <w:p w14:paraId="3DD745F0" w14:textId="77777777" w:rsidR="00A37447" w:rsidRDefault="00A37447">
            <w:pPr>
              <w:keepNext/>
              <w:spacing w:after="20"/>
              <w:jc w:val="right"/>
            </w:pPr>
            <w:r>
              <w:rPr>
                <w:sz w:val="16"/>
              </w:rPr>
              <w:t>11,2 %</w:t>
            </w:r>
          </w:p>
        </w:tc>
      </w:tr>
    </w:tbl>
    <w:p w14:paraId="311C5FD9" w14:textId="77777777" w:rsidR="00A37447" w:rsidRDefault="00A37447">
      <w:pPr>
        <w:keepLines/>
        <w:spacing w:before="40"/>
        <w:jc w:val="right"/>
      </w:pPr>
      <w:r>
        <w:rPr>
          <w:b/>
          <w:color w:val="404040"/>
          <w:sz w:val="15"/>
        </w:rPr>
        <w:t>FUENTE: Contugas</w:t>
      </w:r>
    </w:p>
    <w:p w14:paraId="4FE4EDC5" w14:textId="58D40DBA" w:rsidR="001A03D1" w:rsidRPr="001A03D1" w:rsidRDefault="00A37447" w:rsidP="001A03D1">
      <w:pPr>
        <w:keepLines/>
        <w:rPr>
          <w:lang w:val="es-PE"/>
        </w:rPr>
      </w:pPr>
      <w:r w:rsidRPr="0036111A">
        <w:rPr>
          <w:lang w:val="es-PE"/>
        </w:rPr>
        <w:t>En 2025, Contugas conectó alrededor de 1.633 nuevos usuarios</w:t>
      </w:r>
      <w:r w:rsidR="00B136A4">
        <w:rPr>
          <w:lang w:val="es-PE"/>
        </w:rPr>
        <w:t xml:space="preserve"> </w:t>
      </w:r>
      <w:r>
        <w:rPr>
          <w:lang w:val="es-PE"/>
        </w:rPr>
        <w:t>–</w:t>
      </w:r>
      <w:r w:rsidR="00B136A4">
        <w:rPr>
          <w:lang w:val="es-PE"/>
        </w:rPr>
        <w:t>superando las 105 mil conexiones en Ica</w:t>
      </w:r>
      <w:r>
        <w:rPr>
          <w:lang w:val="es-PE"/>
        </w:rPr>
        <w:t>–</w:t>
      </w:r>
      <w:r w:rsidR="000C52F5">
        <w:rPr>
          <w:lang w:val="es-PE"/>
        </w:rPr>
        <w:t>. Este resultado representó</w:t>
      </w:r>
      <w:r w:rsidRPr="0036111A">
        <w:rPr>
          <w:lang w:val="es-PE"/>
        </w:rPr>
        <w:t xml:space="preserve"> una desaceleración marcada respecto a </w:t>
      </w:r>
      <w:r w:rsidR="001A03D1" w:rsidRPr="0036111A">
        <w:rPr>
          <w:lang w:val="es-PE"/>
        </w:rPr>
        <w:t>las 14 mil nuevas conexiones registradas</w:t>
      </w:r>
      <w:r w:rsidR="000C52F5">
        <w:rPr>
          <w:lang w:val="es-PE"/>
        </w:rPr>
        <w:t xml:space="preserve"> en</w:t>
      </w:r>
      <w:r w:rsidRPr="0036111A">
        <w:rPr>
          <w:lang w:val="es-PE"/>
        </w:rPr>
        <w:t xml:space="preserve"> 2024, que refleja el techo de las viviendas anilladas disponibles: la red de distribución apenas se amplió en 25 km durante el año, hasta los 2.263 km.</w:t>
      </w:r>
      <w:r w:rsidR="00A66C02">
        <w:rPr>
          <w:lang w:val="es-PE"/>
        </w:rPr>
        <w:t xml:space="preserve"> Ante el bajo crecimiento del último año, el ratio de cobertura cayó ligeramente, debido a que la cantidad de hogares creció a un mayor ritmo. </w:t>
      </w:r>
      <w:r w:rsidRPr="0036111A">
        <w:rPr>
          <w:lang w:val="es-PE"/>
        </w:rPr>
        <w:t>La tasa de penetración alcanzó 61 %, 1 p.</w:t>
      </w:r>
      <w:r>
        <w:rPr>
          <w:lang w:val="es-PE"/>
        </w:rPr>
        <w:t xml:space="preserve"> </w:t>
      </w:r>
      <w:r w:rsidRPr="0036111A">
        <w:rPr>
          <w:lang w:val="es-PE"/>
        </w:rPr>
        <w:t>p. más que el año anterior, y el volumen de gas vendido creció 11 %, hasta los 28,3 MMpcd, impulsado principalmente por el segmento industrial (+15 %)</w:t>
      </w:r>
      <w:r w:rsidR="00FD396B">
        <w:rPr>
          <w:lang w:val="es-PE"/>
        </w:rPr>
        <w:t xml:space="preserve"> y por el de generación eléctrica (+6 %), que se sumaron</w:t>
      </w:r>
      <w:r w:rsidRPr="0036111A">
        <w:rPr>
          <w:lang w:val="es-PE"/>
        </w:rPr>
        <w:t xml:space="preserve"> al avance del residencial y comercial (+9 %).</w:t>
      </w:r>
    </w:p>
    <w:p w14:paraId="798E04A4" w14:textId="5A1F6F09" w:rsidR="00A37447" w:rsidRDefault="00A63172">
      <w:pPr>
        <w:spacing w:before="160"/>
        <w:jc w:val="center"/>
      </w:pPr>
      <w:r w:rsidRPr="00E97CC9">
        <w:rPr>
          <w:lang w:val="es-PE"/>
        </w:rPr>
        <w:t xml:space="preserve"> </w:t>
      </w:r>
      <w:r w:rsidR="00A37447">
        <w:rPr>
          <w:noProof/>
        </w:rPr>
        <w:drawing>
          <wp:inline distT="0" distB="0" distL="0" distR="0" wp14:anchorId="0B2F1D6E" wp14:editId="2988B73D">
            <wp:extent cx="4320000" cy="2708426"/>
            <wp:effectExtent l="0" t="0" r="0" b="0"/>
            <wp:docPr id="2110891812" name="Imagen 211089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9.png"/>
                    <pic:cNvPicPr/>
                  </pic:nvPicPr>
                  <pic:blipFill>
                    <a:blip r:embed="rId66"/>
                    <a:stretch>
                      <a:fillRect/>
                    </a:stretch>
                  </pic:blipFill>
                  <pic:spPr>
                    <a:xfrm>
                      <a:off x="0" y="0"/>
                      <a:ext cx="4320000" cy="2708426"/>
                    </a:xfrm>
                    <a:prstGeom prst="rect">
                      <a:avLst/>
                    </a:prstGeom>
                  </pic:spPr>
                </pic:pic>
              </a:graphicData>
            </a:graphic>
          </wp:inline>
        </w:drawing>
      </w:r>
    </w:p>
    <w:p w14:paraId="5745FABB" w14:textId="77777777" w:rsidR="00A37447" w:rsidRDefault="00A37447">
      <w:pPr>
        <w:spacing w:before="160"/>
        <w:jc w:val="center"/>
      </w:pPr>
      <w:r>
        <w:rPr>
          <w:noProof/>
        </w:rPr>
        <w:lastRenderedPageBreak/>
        <w:drawing>
          <wp:inline distT="0" distB="0" distL="0" distR="0" wp14:anchorId="0B2F1D6E" wp14:editId="2988B73D">
            <wp:extent cx="4320000" cy="2732936"/>
            <wp:effectExtent l="0" t="0" r="0" b="0"/>
            <wp:docPr id="2110891792" name="Imagen 211089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9.png"/>
                    <pic:cNvPicPr/>
                  </pic:nvPicPr>
                  <pic:blipFill>
                    <a:blip r:embed="rId67"/>
                    <a:stretch>
                      <a:fillRect/>
                    </a:stretch>
                  </pic:blipFill>
                  <pic:spPr>
                    <a:xfrm>
                      <a:off x="0" y="0"/>
                      <a:ext cx="4320000" cy="2732936"/>
                    </a:xfrm>
                    <a:prstGeom prst="rect">
                      <a:avLst/>
                    </a:prstGeom>
                  </pic:spPr>
                </pic:pic>
              </a:graphicData>
            </a:graphic>
          </wp:inline>
        </w:drawing>
      </w:r>
    </w:p>
    <w:p w14:paraId="32B0CD92" w14:textId="77777777" w:rsidR="00A37447" w:rsidRDefault="00A37447">
      <w:pPr>
        <w:spacing w:before="160"/>
        <w:jc w:val="center"/>
      </w:pPr>
      <w:r>
        <w:rPr>
          <w:noProof/>
        </w:rPr>
        <w:drawing>
          <wp:inline distT="0" distB="0" distL="0" distR="0" wp14:anchorId="0B2F1D6E" wp14:editId="2988B73D">
            <wp:extent cx="4320000" cy="2732936"/>
            <wp:effectExtent l="0" t="0" r="0" b="0"/>
            <wp:docPr id="2110891793" name="Imagen 211089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9.png"/>
                    <pic:cNvPicPr/>
                  </pic:nvPicPr>
                  <pic:blipFill>
                    <a:blip r:embed="rId68"/>
                    <a:stretch>
                      <a:fillRect/>
                    </a:stretch>
                  </pic:blipFill>
                  <pic:spPr>
                    <a:xfrm>
                      <a:off x="0" y="0"/>
                      <a:ext cx="4320000" cy="2732936"/>
                    </a:xfrm>
                    <a:prstGeom prst="rect">
                      <a:avLst/>
                    </a:prstGeom>
                  </pic:spPr>
                </pic:pic>
              </a:graphicData>
            </a:graphic>
          </wp:inline>
        </w:drawing>
      </w:r>
    </w:p>
    <w:p w14:paraId="3B79230C" w14:textId="77777777" w:rsidR="00A37447" w:rsidRPr="0036111A" w:rsidRDefault="00A37447">
      <w:pPr>
        <w:keepNext/>
        <w:keepLines/>
        <w:spacing w:before="160" w:after="20"/>
        <w:rPr>
          <w:lang w:val="es-PE"/>
        </w:rPr>
      </w:pPr>
      <w:r w:rsidRPr="0036111A">
        <w:rPr>
          <w:b/>
          <w:color w:val="00838F"/>
          <w:sz w:val="20"/>
          <w:lang w:val="es-PE"/>
        </w:rPr>
        <w:t>CONTUGAS: VENTAS POR SEGMENTO</w:t>
      </w:r>
    </w:p>
    <w:p w14:paraId="3142467F" w14:textId="77777777" w:rsidR="00A37447" w:rsidRPr="0036111A" w:rsidRDefault="00A37447">
      <w:pPr>
        <w:keepNext/>
        <w:keepLines/>
        <w:spacing w:after="60"/>
        <w:rPr>
          <w:lang w:val="es-PE"/>
        </w:rPr>
      </w:pPr>
      <w:r w:rsidRPr="0036111A">
        <w:rPr>
          <w:i/>
          <w:sz w:val="17"/>
          <w:lang w:val="es-PE"/>
        </w:rPr>
        <w:t>Millones de pies cúbicos diarios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74261A87" w14:textId="77777777">
        <w:trPr>
          <w:cantSplit/>
          <w:tblHeader/>
        </w:trPr>
        <w:tc>
          <w:tcPr>
            <w:tcW w:w="1063" w:type="dxa"/>
            <w:shd w:val="clear" w:color="auto" w:fill="1F3864"/>
          </w:tcPr>
          <w:p w14:paraId="56974662" w14:textId="77777777" w:rsidR="00A37447" w:rsidRDefault="00A37447">
            <w:pPr>
              <w:keepNext/>
            </w:pPr>
            <w:r>
              <w:rPr>
                <w:b/>
                <w:color w:val="FFFFFF"/>
                <w:sz w:val="17"/>
              </w:rPr>
              <w:t>Sector</w:t>
            </w:r>
          </w:p>
        </w:tc>
        <w:tc>
          <w:tcPr>
            <w:tcW w:w="1063" w:type="dxa"/>
            <w:shd w:val="clear" w:color="auto" w:fill="1F3864"/>
            <w:noWrap/>
          </w:tcPr>
          <w:p w14:paraId="04740C0D" w14:textId="77777777" w:rsidR="00A37447" w:rsidRDefault="00A37447">
            <w:pPr>
              <w:keepNext/>
              <w:jc w:val="right"/>
            </w:pPr>
            <w:r>
              <w:rPr>
                <w:b/>
                <w:color w:val="FFFFFF"/>
                <w:sz w:val="17"/>
              </w:rPr>
              <w:t>2021</w:t>
            </w:r>
          </w:p>
        </w:tc>
        <w:tc>
          <w:tcPr>
            <w:tcW w:w="1063" w:type="dxa"/>
            <w:shd w:val="clear" w:color="auto" w:fill="1F3864"/>
            <w:noWrap/>
          </w:tcPr>
          <w:p w14:paraId="72FEF828" w14:textId="77777777" w:rsidR="00A37447" w:rsidRDefault="00A37447">
            <w:pPr>
              <w:keepNext/>
              <w:jc w:val="right"/>
            </w:pPr>
            <w:r>
              <w:rPr>
                <w:b/>
                <w:color w:val="FFFFFF"/>
                <w:sz w:val="17"/>
              </w:rPr>
              <w:t>2022</w:t>
            </w:r>
          </w:p>
        </w:tc>
        <w:tc>
          <w:tcPr>
            <w:tcW w:w="1063" w:type="dxa"/>
            <w:shd w:val="clear" w:color="auto" w:fill="1F3864"/>
            <w:noWrap/>
          </w:tcPr>
          <w:p w14:paraId="3A830188" w14:textId="77777777" w:rsidR="00A37447" w:rsidRDefault="00A37447">
            <w:pPr>
              <w:keepNext/>
              <w:jc w:val="right"/>
            </w:pPr>
            <w:r>
              <w:rPr>
                <w:b/>
                <w:color w:val="FFFFFF"/>
                <w:sz w:val="17"/>
              </w:rPr>
              <w:t>2023</w:t>
            </w:r>
          </w:p>
        </w:tc>
        <w:tc>
          <w:tcPr>
            <w:tcW w:w="1063" w:type="dxa"/>
            <w:shd w:val="clear" w:color="auto" w:fill="1F3864"/>
            <w:noWrap/>
          </w:tcPr>
          <w:p w14:paraId="4EDE8091" w14:textId="77777777" w:rsidR="00A37447" w:rsidRDefault="00A37447">
            <w:pPr>
              <w:keepNext/>
              <w:jc w:val="right"/>
            </w:pPr>
            <w:r>
              <w:rPr>
                <w:b/>
                <w:color w:val="FFFFFF"/>
                <w:sz w:val="17"/>
              </w:rPr>
              <w:t>2024</w:t>
            </w:r>
          </w:p>
        </w:tc>
        <w:tc>
          <w:tcPr>
            <w:tcW w:w="1063" w:type="dxa"/>
            <w:shd w:val="clear" w:color="auto" w:fill="1F3864"/>
            <w:noWrap/>
          </w:tcPr>
          <w:p w14:paraId="48F7236D" w14:textId="77777777" w:rsidR="00A37447" w:rsidRDefault="00A37447">
            <w:pPr>
              <w:keepNext/>
              <w:jc w:val="right"/>
            </w:pPr>
            <w:r>
              <w:rPr>
                <w:b/>
                <w:color w:val="FFFFFF"/>
                <w:sz w:val="17"/>
              </w:rPr>
              <w:t>2025</w:t>
            </w:r>
          </w:p>
        </w:tc>
        <w:tc>
          <w:tcPr>
            <w:tcW w:w="1063" w:type="dxa"/>
            <w:shd w:val="clear" w:color="auto" w:fill="1F3864"/>
          </w:tcPr>
          <w:p w14:paraId="4C16E3E4" w14:textId="77777777" w:rsidR="00A37447" w:rsidRDefault="00A37447">
            <w:pPr>
              <w:keepNext/>
              <w:jc w:val="right"/>
            </w:pPr>
            <w:r>
              <w:rPr>
                <w:b/>
                <w:color w:val="FFFFFF"/>
                <w:sz w:val="17"/>
              </w:rPr>
              <w:t>Var. % 2025 vs 2024</w:t>
            </w:r>
          </w:p>
        </w:tc>
        <w:tc>
          <w:tcPr>
            <w:tcW w:w="1063" w:type="dxa"/>
            <w:shd w:val="clear" w:color="auto" w:fill="1F3864"/>
          </w:tcPr>
          <w:p w14:paraId="25316CC2" w14:textId="77777777" w:rsidR="00A37447" w:rsidRDefault="00A37447">
            <w:pPr>
              <w:keepNext/>
              <w:jc w:val="right"/>
            </w:pPr>
            <w:r>
              <w:rPr>
                <w:b/>
                <w:color w:val="FFFFFF"/>
                <w:sz w:val="17"/>
              </w:rPr>
              <w:t>TACC 2021-2025</w:t>
            </w:r>
          </w:p>
        </w:tc>
      </w:tr>
      <w:tr w:rsidR="00855697" w14:paraId="59243EE6" w14:textId="77777777">
        <w:trPr>
          <w:cantSplit/>
        </w:trPr>
        <w:tc>
          <w:tcPr>
            <w:tcW w:w="1063" w:type="dxa"/>
          </w:tcPr>
          <w:p w14:paraId="74D494E4" w14:textId="77777777" w:rsidR="00A37447" w:rsidRDefault="00A37447">
            <w:pPr>
              <w:keepNext/>
              <w:spacing w:after="20"/>
            </w:pPr>
            <w:r>
              <w:rPr>
                <w:sz w:val="17"/>
              </w:rPr>
              <w:t>Residencial y comercial</w:t>
            </w:r>
          </w:p>
        </w:tc>
        <w:tc>
          <w:tcPr>
            <w:tcW w:w="1063" w:type="dxa"/>
            <w:noWrap/>
          </w:tcPr>
          <w:p w14:paraId="1A60E5BE" w14:textId="77777777" w:rsidR="00A37447" w:rsidRDefault="00A37447">
            <w:pPr>
              <w:keepNext/>
              <w:spacing w:after="20"/>
              <w:jc w:val="right"/>
            </w:pPr>
            <w:r>
              <w:rPr>
                <w:sz w:val="16"/>
              </w:rPr>
              <w:t>1,1</w:t>
            </w:r>
          </w:p>
        </w:tc>
        <w:tc>
          <w:tcPr>
            <w:tcW w:w="1063" w:type="dxa"/>
            <w:noWrap/>
          </w:tcPr>
          <w:p w14:paraId="125A67B1" w14:textId="77777777" w:rsidR="00A37447" w:rsidRDefault="00A37447">
            <w:pPr>
              <w:keepNext/>
              <w:spacing w:after="20"/>
              <w:jc w:val="right"/>
            </w:pPr>
            <w:r>
              <w:rPr>
                <w:sz w:val="16"/>
              </w:rPr>
              <w:t>1,2</w:t>
            </w:r>
          </w:p>
        </w:tc>
        <w:tc>
          <w:tcPr>
            <w:tcW w:w="1063" w:type="dxa"/>
            <w:noWrap/>
          </w:tcPr>
          <w:p w14:paraId="3148B796" w14:textId="77777777" w:rsidR="00A37447" w:rsidRDefault="00A37447">
            <w:pPr>
              <w:keepNext/>
              <w:spacing w:after="20"/>
              <w:jc w:val="right"/>
            </w:pPr>
            <w:r>
              <w:rPr>
                <w:sz w:val="16"/>
              </w:rPr>
              <w:t>1,3</w:t>
            </w:r>
          </w:p>
        </w:tc>
        <w:tc>
          <w:tcPr>
            <w:tcW w:w="1063" w:type="dxa"/>
            <w:noWrap/>
          </w:tcPr>
          <w:p w14:paraId="4DB7B781" w14:textId="77777777" w:rsidR="00A37447" w:rsidRDefault="00A37447">
            <w:pPr>
              <w:keepNext/>
              <w:spacing w:after="20"/>
              <w:jc w:val="right"/>
            </w:pPr>
            <w:r>
              <w:rPr>
                <w:sz w:val="16"/>
              </w:rPr>
              <w:t>1,6</w:t>
            </w:r>
          </w:p>
        </w:tc>
        <w:tc>
          <w:tcPr>
            <w:tcW w:w="1063" w:type="dxa"/>
            <w:noWrap/>
          </w:tcPr>
          <w:p w14:paraId="1C07AAAE" w14:textId="77777777" w:rsidR="00A37447" w:rsidRDefault="00A37447">
            <w:pPr>
              <w:keepNext/>
              <w:spacing w:after="20"/>
              <w:jc w:val="right"/>
            </w:pPr>
            <w:r>
              <w:rPr>
                <w:sz w:val="16"/>
              </w:rPr>
              <w:t>1,7</w:t>
            </w:r>
          </w:p>
        </w:tc>
        <w:tc>
          <w:tcPr>
            <w:tcW w:w="1063" w:type="dxa"/>
            <w:noWrap/>
          </w:tcPr>
          <w:p w14:paraId="6D2B8E61" w14:textId="77777777" w:rsidR="00A37447" w:rsidRDefault="00A37447">
            <w:pPr>
              <w:keepNext/>
              <w:spacing w:after="20"/>
              <w:jc w:val="right"/>
            </w:pPr>
            <w:r>
              <w:rPr>
                <w:sz w:val="16"/>
              </w:rPr>
              <w:t>8,9 %</w:t>
            </w:r>
          </w:p>
        </w:tc>
        <w:tc>
          <w:tcPr>
            <w:tcW w:w="1063" w:type="dxa"/>
            <w:noWrap/>
          </w:tcPr>
          <w:p w14:paraId="3B020FC8" w14:textId="77777777" w:rsidR="00A37447" w:rsidRDefault="00A37447">
            <w:pPr>
              <w:keepNext/>
              <w:spacing w:after="20"/>
              <w:jc w:val="right"/>
            </w:pPr>
            <w:r>
              <w:rPr>
                <w:sz w:val="16"/>
              </w:rPr>
              <w:t>11,0 %</w:t>
            </w:r>
          </w:p>
        </w:tc>
      </w:tr>
      <w:tr w:rsidR="00855697" w14:paraId="4D3E61DA" w14:textId="77777777">
        <w:trPr>
          <w:cantSplit/>
        </w:trPr>
        <w:tc>
          <w:tcPr>
            <w:tcW w:w="1063" w:type="dxa"/>
            <w:noWrap/>
          </w:tcPr>
          <w:p w14:paraId="5E8DF630" w14:textId="77777777" w:rsidR="00A37447" w:rsidRDefault="00A37447">
            <w:pPr>
              <w:keepNext/>
              <w:spacing w:after="20"/>
            </w:pPr>
            <w:r>
              <w:rPr>
                <w:sz w:val="17"/>
              </w:rPr>
              <w:t>Industrial</w:t>
            </w:r>
          </w:p>
        </w:tc>
        <w:tc>
          <w:tcPr>
            <w:tcW w:w="1063" w:type="dxa"/>
            <w:noWrap/>
          </w:tcPr>
          <w:p w14:paraId="072A7A37" w14:textId="77777777" w:rsidR="00A37447" w:rsidRDefault="00A37447">
            <w:pPr>
              <w:keepNext/>
              <w:spacing w:after="20"/>
              <w:jc w:val="right"/>
            </w:pPr>
            <w:r>
              <w:rPr>
                <w:sz w:val="16"/>
              </w:rPr>
              <w:t>13,6</w:t>
            </w:r>
          </w:p>
        </w:tc>
        <w:tc>
          <w:tcPr>
            <w:tcW w:w="1063" w:type="dxa"/>
            <w:noWrap/>
          </w:tcPr>
          <w:p w14:paraId="039F3D3E" w14:textId="77777777" w:rsidR="00A37447" w:rsidRDefault="00A37447">
            <w:pPr>
              <w:keepNext/>
              <w:spacing w:after="20"/>
              <w:jc w:val="right"/>
            </w:pPr>
            <w:r>
              <w:rPr>
                <w:sz w:val="16"/>
              </w:rPr>
              <w:t>13,7</w:t>
            </w:r>
          </w:p>
        </w:tc>
        <w:tc>
          <w:tcPr>
            <w:tcW w:w="1063" w:type="dxa"/>
            <w:noWrap/>
          </w:tcPr>
          <w:p w14:paraId="0EFD1BEA" w14:textId="77777777" w:rsidR="00A37447" w:rsidRDefault="00A37447">
            <w:pPr>
              <w:keepNext/>
              <w:spacing w:after="20"/>
              <w:jc w:val="right"/>
            </w:pPr>
            <w:r>
              <w:rPr>
                <w:sz w:val="16"/>
              </w:rPr>
              <w:t>12,5</w:t>
            </w:r>
          </w:p>
        </w:tc>
        <w:tc>
          <w:tcPr>
            <w:tcW w:w="1063" w:type="dxa"/>
            <w:noWrap/>
          </w:tcPr>
          <w:p w14:paraId="1F248FD0" w14:textId="77777777" w:rsidR="00A37447" w:rsidRDefault="00A37447">
            <w:pPr>
              <w:keepNext/>
              <w:spacing w:after="20"/>
              <w:jc w:val="right"/>
            </w:pPr>
            <w:r>
              <w:rPr>
                <w:sz w:val="16"/>
              </w:rPr>
              <w:t>13,5</w:t>
            </w:r>
          </w:p>
        </w:tc>
        <w:tc>
          <w:tcPr>
            <w:tcW w:w="1063" w:type="dxa"/>
            <w:noWrap/>
          </w:tcPr>
          <w:p w14:paraId="58ADF40E" w14:textId="77777777" w:rsidR="00A37447" w:rsidRDefault="00A37447">
            <w:pPr>
              <w:keepNext/>
              <w:spacing w:after="20"/>
              <w:jc w:val="right"/>
            </w:pPr>
            <w:r>
              <w:rPr>
                <w:sz w:val="16"/>
              </w:rPr>
              <w:t>15,6</w:t>
            </w:r>
          </w:p>
        </w:tc>
        <w:tc>
          <w:tcPr>
            <w:tcW w:w="1063" w:type="dxa"/>
            <w:noWrap/>
          </w:tcPr>
          <w:p w14:paraId="2478A098" w14:textId="77777777" w:rsidR="00A37447" w:rsidRDefault="00A37447">
            <w:pPr>
              <w:keepNext/>
              <w:spacing w:after="20"/>
              <w:jc w:val="right"/>
            </w:pPr>
            <w:r>
              <w:rPr>
                <w:sz w:val="16"/>
              </w:rPr>
              <w:t>15,2 %</w:t>
            </w:r>
          </w:p>
        </w:tc>
        <w:tc>
          <w:tcPr>
            <w:tcW w:w="1063" w:type="dxa"/>
            <w:noWrap/>
          </w:tcPr>
          <w:p w14:paraId="42B5A316" w14:textId="77777777" w:rsidR="00A37447" w:rsidRDefault="00A37447">
            <w:pPr>
              <w:keepNext/>
              <w:spacing w:after="20"/>
              <w:jc w:val="right"/>
            </w:pPr>
            <w:r>
              <w:rPr>
                <w:sz w:val="16"/>
              </w:rPr>
              <w:t>3,3 %</w:t>
            </w:r>
          </w:p>
        </w:tc>
      </w:tr>
      <w:tr w:rsidR="00855697" w14:paraId="4E749C9E" w14:textId="77777777">
        <w:trPr>
          <w:cantSplit/>
        </w:trPr>
        <w:tc>
          <w:tcPr>
            <w:tcW w:w="1063" w:type="dxa"/>
          </w:tcPr>
          <w:p w14:paraId="6D3CC062" w14:textId="77777777" w:rsidR="00A37447" w:rsidRPr="0036111A" w:rsidRDefault="00A37447">
            <w:pPr>
              <w:keepNext/>
              <w:spacing w:after="20"/>
              <w:rPr>
                <w:lang w:val="es-PE"/>
              </w:rPr>
            </w:pPr>
            <w:r w:rsidRPr="0036111A">
              <w:rPr>
                <w:sz w:val="17"/>
                <w:lang w:val="es-PE"/>
              </w:rPr>
              <w:t>Estaciones de servicio de GNV</w:t>
            </w:r>
          </w:p>
        </w:tc>
        <w:tc>
          <w:tcPr>
            <w:tcW w:w="1063" w:type="dxa"/>
            <w:noWrap/>
          </w:tcPr>
          <w:p w14:paraId="4EAD67C9" w14:textId="77777777" w:rsidR="00A37447" w:rsidRDefault="00A37447">
            <w:pPr>
              <w:keepNext/>
              <w:spacing w:after="20"/>
              <w:jc w:val="right"/>
            </w:pPr>
            <w:r>
              <w:rPr>
                <w:sz w:val="16"/>
              </w:rPr>
              <w:t>1,4</w:t>
            </w:r>
          </w:p>
        </w:tc>
        <w:tc>
          <w:tcPr>
            <w:tcW w:w="1063" w:type="dxa"/>
            <w:noWrap/>
          </w:tcPr>
          <w:p w14:paraId="6D737158" w14:textId="77777777" w:rsidR="00A37447" w:rsidRDefault="00A37447">
            <w:pPr>
              <w:keepNext/>
              <w:spacing w:after="20"/>
              <w:jc w:val="right"/>
            </w:pPr>
            <w:r>
              <w:rPr>
                <w:sz w:val="16"/>
              </w:rPr>
              <w:t>2,0</w:t>
            </w:r>
          </w:p>
        </w:tc>
        <w:tc>
          <w:tcPr>
            <w:tcW w:w="1063" w:type="dxa"/>
            <w:noWrap/>
          </w:tcPr>
          <w:p w14:paraId="00D02952" w14:textId="77777777" w:rsidR="00A37447" w:rsidRDefault="00A37447">
            <w:pPr>
              <w:keepNext/>
              <w:spacing w:after="20"/>
              <w:jc w:val="right"/>
            </w:pPr>
            <w:r>
              <w:rPr>
                <w:sz w:val="16"/>
              </w:rPr>
              <w:t>2,5</w:t>
            </w:r>
          </w:p>
        </w:tc>
        <w:tc>
          <w:tcPr>
            <w:tcW w:w="1063" w:type="dxa"/>
            <w:noWrap/>
          </w:tcPr>
          <w:p w14:paraId="4CCDD514" w14:textId="77777777" w:rsidR="00A37447" w:rsidRDefault="00A37447">
            <w:pPr>
              <w:keepNext/>
              <w:spacing w:after="20"/>
              <w:jc w:val="right"/>
            </w:pPr>
            <w:r>
              <w:rPr>
                <w:sz w:val="16"/>
              </w:rPr>
              <w:t>2,6</w:t>
            </w:r>
          </w:p>
        </w:tc>
        <w:tc>
          <w:tcPr>
            <w:tcW w:w="1063" w:type="dxa"/>
            <w:noWrap/>
          </w:tcPr>
          <w:p w14:paraId="0F743324" w14:textId="77777777" w:rsidR="00A37447" w:rsidRDefault="00A37447">
            <w:pPr>
              <w:keepNext/>
              <w:spacing w:after="20"/>
              <w:jc w:val="right"/>
            </w:pPr>
            <w:r>
              <w:rPr>
                <w:sz w:val="16"/>
              </w:rPr>
              <w:t>2,7</w:t>
            </w:r>
          </w:p>
        </w:tc>
        <w:tc>
          <w:tcPr>
            <w:tcW w:w="1063" w:type="dxa"/>
            <w:noWrap/>
          </w:tcPr>
          <w:p w14:paraId="77DAA6F8" w14:textId="77777777" w:rsidR="00A37447" w:rsidRDefault="00A37447">
            <w:pPr>
              <w:keepNext/>
              <w:spacing w:after="20"/>
              <w:jc w:val="right"/>
            </w:pPr>
            <w:r>
              <w:rPr>
                <w:sz w:val="16"/>
              </w:rPr>
              <w:t>3,8 %</w:t>
            </w:r>
          </w:p>
        </w:tc>
        <w:tc>
          <w:tcPr>
            <w:tcW w:w="1063" w:type="dxa"/>
            <w:noWrap/>
          </w:tcPr>
          <w:p w14:paraId="1A446F75" w14:textId="77777777" w:rsidR="00A37447" w:rsidRDefault="00A37447">
            <w:pPr>
              <w:keepNext/>
              <w:spacing w:after="20"/>
              <w:jc w:val="right"/>
            </w:pPr>
            <w:r>
              <w:rPr>
                <w:sz w:val="16"/>
              </w:rPr>
              <w:t>17,8 %</w:t>
            </w:r>
          </w:p>
        </w:tc>
      </w:tr>
      <w:tr w:rsidR="00855697" w14:paraId="734C7B76" w14:textId="77777777">
        <w:trPr>
          <w:cantSplit/>
        </w:trPr>
        <w:tc>
          <w:tcPr>
            <w:tcW w:w="1063" w:type="dxa"/>
          </w:tcPr>
          <w:p w14:paraId="6AA92D51" w14:textId="77777777" w:rsidR="00A37447" w:rsidRDefault="00A37447">
            <w:pPr>
              <w:keepNext/>
              <w:spacing w:after="20"/>
            </w:pPr>
            <w:r>
              <w:rPr>
                <w:sz w:val="17"/>
              </w:rPr>
              <w:t>Generación eléctrica</w:t>
            </w:r>
          </w:p>
        </w:tc>
        <w:tc>
          <w:tcPr>
            <w:tcW w:w="1063" w:type="dxa"/>
            <w:noWrap/>
          </w:tcPr>
          <w:p w14:paraId="773C670C" w14:textId="77777777" w:rsidR="00A37447" w:rsidRDefault="00A37447">
            <w:pPr>
              <w:keepNext/>
              <w:spacing w:after="20"/>
              <w:jc w:val="right"/>
            </w:pPr>
            <w:r>
              <w:rPr>
                <w:sz w:val="16"/>
              </w:rPr>
              <w:t>8,0</w:t>
            </w:r>
          </w:p>
        </w:tc>
        <w:tc>
          <w:tcPr>
            <w:tcW w:w="1063" w:type="dxa"/>
            <w:noWrap/>
          </w:tcPr>
          <w:p w14:paraId="634A2367" w14:textId="77777777" w:rsidR="00A37447" w:rsidRDefault="00A37447">
            <w:pPr>
              <w:keepNext/>
              <w:spacing w:after="20"/>
              <w:jc w:val="right"/>
            </w:pPr>
            <w:r>
              <w:rPr>
                <w:sz w:val="16"/>
              </w:rPr>
              <w:t>8,9</w:t>
            </w:r>
          </w:p>
        </w:tc>
        <w:tc>
          <w:tcPr>
            <w:tcW w:w="1063" w:type="dxa"/>
            <w:noWrap/>
          </w:tcPr>
          <w:p w14:paraId="2E3D23ED" w14:textId="77777777" w:rsidR="00A37447" w:rsidRDefault="00A37447">
            <w:pPr>
              <w:keepNext/>
              <w:spacing w:after="20"/>
              <w:jc w:val="right"/>
            </w:pPr>
            <w:r>
              <w:rPr>
                <w:sz w:val="16"/>
              </w:rPr>
              <w:t>8,8</w:t>
            </w:r>
          </w:p>
        </w:tc>
        <w:tc>
          <w:tcPr>
            <w:tcW w:w="1063" w:type="dxa"/>
            <w:noWrap/>
          </w:tcPr>
          <w:p w14:paraId="7A97F816" w14:textId="77777777" w:rsidR="00A37447" w:rsidRDefault="00A37447">
            <w:pPr>
              <w:keepNext/>
              <w:spacing w:after="20"/>
              <w:jc w:val="right"/>
            </w:pPr>
            <w:r>
              <w:rPr>
                <w:sz w:val="16"/>
              </w:rPr>
              <w:t>7,8</w:t>
            </w:r>
          </w:p>
        </w:tc>
        <w:tc>
          <w:tcPr>
            <w:tcW w:w="1063" w:type="dxa"/>
            <w:noWrap/>
          </w:tcPr>
          <w:p w14:paraId="33155EA7" w14:textId="77777777" w:rsidR="00A37447" w:rsidRDefault="00A37447">
            <w:pPr>
              <w:keepNext/>
              <w:spacing w:after="20"/>
              <w:jc w:val="right"/>
            </w:pPr>
            <w:r>
              <w:rPr>
                <w:sz w:val="16"/>
              </w:rPr>
              <w:t>8,2</w:t>
            </w:r>
          </w:p>
        </w:tc>
        <w:tc>
          <w:tcPr>
            <w:tcW w:w="1063" w:type="dxa"/>
            <w:noWrap/>
          </w:tcPr>
          <w:p w14:paraId="55DCED7B" w14:textId="77777777" w:rsidR="00A37447" w:rsidRDefault="00A37447">
            <w:pPr>
              <w:keepNext/>
              <w:spacing w:after="20"/>
              <w:jc w:val="right"/>
            </w:pPr>
            <w:r>
              <w:rPr>
                <w:sz w:val="16"/>
              </w:rPr>
              <w:t>6,1 %</w:t>
            </w:r>
          </w:p>
        </w:tc>
        <w:tc>
          <w:tcPr>
            <w:tcW w:w="1063" w:type="dxa"/>
            <w:noWrap/>
          </w:tcPr>
          <w:p w14:paraId="178F6619" w14:textId="77777777" w:rsidR="00A37447" w:rsidRDefault="00A37447">
            <w:pPr>
              <w:keepNext/>
              <w:spacing w:after="20"/>
              <w:jc w:val="right"/>
            </w:pPr>
            <w:r>
              <w:rPr>
                <w:sz w:val="16"/>
              </w:rPr>
              <w:t>0,8 %</w:t>
            </w:r>
          </w:p>
        </w:tc>
      </w:tr>
      <w:tr w:rsidR="00855697" w14:paraId="3EF00C05" w14:textId="77777777">
        <w:trPr>
          <w:cantSplit/>
        </w:trPr>
        <w:tc>
          <w:tcPr>
            <w:tcW w:w="1063" w:type="dxa"/>
            <w:noWrap/>
          </w:tcPr>
          <w:p w14:paraId="5829486A" w14:textId="77777777" w:rsidR="00A37447" w:rsidRDefault="00A37447">
            <w:pPr>
              <w:keepNext/>
              <w:spacing w:after="20"/>
            </w:pPr>
            <w:r>
              <w:rPr>
                <w:b/>
                <w:sz w:val="17"/>
              </w:rPr>
              <w:t>Total</w:t>
            </w:r>
          </w:p>
        </w:tc>
        <w:tc>
          <w:tcPr>
            <w:tcW w:w="1063" w:type="dxa"/>
            <w:noWrap/>
          </w:tcPr>
          <w:p w14:paraId="42CBEFBC" w14:textId="77777777" w:rsidR="00A37447" w:rsidRDefault="00A37447">
            <w:pPr>
              <w:keepNext/>
              <w:spacing w:after="20"/>
              <w:jc w:val="right"/>
            </w:pPr>
            <w:r>
              <w:rPr>
                <w:sz w:val="16"/>
              </w:rPr>
              <w:t>24,2</w:t>
            </w:r>
          </w:p>
        </w:tc>
        <w:tc>
          <w:tcPr>
            <w:tcW w:w="1063" w:type="dxa"/>
            <w:noWrap/>
          </w:tcPr>
          <w:p w14:paraId="24B8E859" w14:textId="77777777" w:rsidR="00A37447" w:rsidRDefault="00A37447">
            <w:pPr>
              <w:keepNext/>
              <w:spacing w:after="20"/>
              <w:jc w:val="right"/>
            </w:pPr>
            <w:r>
              <w:rPr>
                <w:sz w:val="16"/>
              </w:rPr>
              <w:t>25,8</w:t>
            </w:r>
          </w:p>
        </w:tc>
        <w:tc>
          <w:tcPr>
            <w:tcW w:w="1063" w:type="dxa"/>
            <w:noWrap/>
          </w:tcPr>
          <w:p w14:paraId="64B66B22" w14:textId="77777777" w:rsidR="00A37447" w:rsidRDefault="00A37447">
            <w:pPr>
              <w:keepNext/>
              <w:spacing w:after="20"/>
              <w:jc w:val="right"/>
            </w:pPr>
            <w:r>
              <w:rPr>
                <w:sz w:val="16"/>
              </w:rPr>
              <w:t>25,0</w:t>
            </w:r>
          </w:p>
        </w:tc>
        <w:tc>
          <w:tcPr>
            <w:tcW w:w="1063" w:type="dxa"/>
            <w:noWrap/>
          </w:tcPr>
          <w:p w14:paraId="4538D829" w14:textId="77777777" w:rsidR="00A37447" w:rsidRDefault="00A37447">
            <w:pPr>
              <w:keepNext/>
              <w:spacing w:after="20"/>
              <w:jc w:val="right"/>
            </w:pPr>
            <w:r>
              <w:rPr>
                <w:sz w:val="16"/>
              </w:rPr>
              <w:t>25,5</w:t>
            </w:r>
          </w:p>
        </w:tc>
        <w:tc>
          <w:tcPr>
            <w:tcW w:w="1063" w:type="dxa"/>
            <w:noWrap/>
          </w:tcPr>
          <w:p w14:paraId="30C96A72" w14:textId="77777777" w:rsidR="00A37447" w:rsidRDefault="00A37447">
            <w:pPr>
              <w:keepNext/>
              <w:spacing w:after="20"/>
              <w:jc w:val="right"/>
            </w:pPr>
            <w:r>
              <w:rPr>
                <w:sz w:val="16"/>
              </w:rPr>
              <w:t>28,3</w:t>
            </w:r>
          </w:p>
        </w:tc>
        <w:tc>
          <w:tcPr>
            <w:tcW w:w="1063" w:type="dxa"/>
            <w:noWrap/>
          </w:tcPr>
          <w:p w14:paraId="3A05712E" w14:textId="77777777" w:rsidR="00A37447" w:rsidRDefault="00A37447">
            <w:pPr>
              <w:keepNext/>
              <w:spacing w:after="20"/>
              <w:jc w:val="right"/>
            </w:pPr>
            <w:r>
              <w:rPr>
                <w:sz w:val="16"/>
              </w:rPr>
              <w:t>10,9 %</w:t>
            </w:r>
          </w:p>
        </w:tc>
        <w:tc>
          <w:tcPr>
            <w:tcW w:w="1063" w:type="dxa"/>
            <w:noWrap/>
          </w:tcPr>
          <w:p w14:paraId="7DD3BC69" w14:textId="77777777" w:rsidR="00A37447" w:rsidRDefault="00A37447">
            <w:pPr>
              <w:keepNext/>
              <w:spacing w:after="20"/>
              <w:jc w:val="right"/>
            </w:pPr>
            <w:r>
              <w:rPr>
                <w:sz w:val="16"/>
              </w:rPr>
              <w:t>4,0 %</w:t>
            </w:r>
          </w:p>
        </w:tc>
      </w:tr>
    </w:tbl>
    <w:p w14:paraId="1A09E9AB" w14:textId="77777777" w:rsidR="00A37447" w:rsidRDefault="00A37447">
      <w:pPr>
        <w:keepNext/>
        <w:keepLines/>
        <w:spacing w:before="40"/>
        <w:jc w:val="right"/>
      </w:pPr>
      <w:r>
        <w:rPr>
          <w:b/>
          <w:color w:val="404040"/>
          <w:sz w:val="15"/>
        </w:rPr>
        <w:t>FUENTE: Contugas</w:t>
      </w:r>
    </w:p>
    <w:p w14:paraId="09561466" w14:textId="77777777" w:rsidR="00A37447" w:rsidRDefault="00A37447">
      <w:pPr>
        <w:keepNext/>
      </w:pPr>
    </w:p>
    <w:p w14:paraId="46594746" w14:textId="77777777" w:rsidR="00A37447" w:rsidRPr="0036111A" w:rsidRDefault="00A37447">
      <w:pPr>
        <w:keepNext/>
        <w:keepLines/>
        <w:pageBreakBefore/>
        <w:outlineLvl w:val="4"/>
        <w:rPr>
          <w:rFonts w:cs="Arial"/>
          <w:b/>
          <w:bCs/>
          <w:lang w:val="es-PE"/>
        </w:rPr>
      </w:pPr>
      <w:bookmarkStart w:id="19" w:name="_Toc235083031"/>
      <w:r w:rsidRPr="0036111A">
        <w:rPr>
          <w:rFonts w:cs="Arial"/>
          <w:b/>
          <w:bCs/>
          <w:lang w:val="es-PE"/>
        </w:rPr>
        <w:lastRenderedPageBreak/>
        <w:t>Gases del Norte del Perú (Concesión Piura)</w:t>
      </w:r>
      <w:bookmarkEnd w:id="19"/>
    </w:p>
    <w:tbl>
      <w:tblPr>
        <w:tblW w:w="0" w:type="auto"/>
        <w:tblBorders>
          <w:top w:val="single" w:sz="8" w:space="0" w:color="1F3864"/>
          <w:left w:val="single" w:sz="8" w:space="0" w:color="1F3864"/>
          <w:bottom w:val="single" w:sz="8" w:space="0" w:color="1F3864"/>
          <w:right w:val="single" w:sz="8" w:space="0" w:color="1F3864"/>
          <w:insideV w:val="single" w:sz="4" w:space="0" w:color="D9D9D9"/>
        </w:tblBorders>
        <w:tblLayout w:type="fixed"/>
        <w:tblCellMar>
          <w:top w:w="80" w:type="dxa"/>
          <w:left w:w="80" w:type="dxa"/>
          <w:bottom w:w="80" w:type="dxa"/>
          <w:right w:w="80" w:type="dxa"/>
        </w:tblCellMar>
        <w:tblLook w:val="04A0" w:firstRow="1" w:lastRow="0" w:firstColumn="1" w:lastColumn="0" w:noHBand="0" w:noVBand="1"/>
      </w:tblPr>
      <w:tblGrid>
        <w:gridCol w:w="2100"/>
        <w:gridCol w:w="1420"/>
        <w:gridCol w:w="1420"/>
        <w:gridCol w:w="1420"/>
        <w:gridCol w:w="1420"/>
        <w:gridCol w:w="1420"/>
      </w:tblGrid>
      <w:tr w:rsidR="00855697" w14:paraId="5DE8C137" w14:textId="77777777">
        <w:trPr>
          <w:cantSplit/>
          <w:tblHeader/>
        </w:trPr>
        <w:tc>
          <w:tcPr>
            <w:tcW w:w="2100" w:type="dxa"/>
            <w:shd w:val="clear" w:color="auto" w:fill="F2F5FA"/>
            <w:vAlign w:val="center"/>
          </w:tcPr>
          <w:p w14:paraId="6A102770" w14:textId="77777777" w:rsidR="00A37447" w:rsidRDefault="00A37447">
            <w:pPr>
              <w:keepNext/>
              <w:jc w:val="center"/>
            </w:pPr>
            <w:r>
              <w:rPr>
                <w:noProof/>
              </w:rPr>
              <w:drawing>
                <wp:inline distT="0" distB="0" distL="0" distR="0" wp14:anchorId="389D56AE" wp14:editId="07132703">
                  <wp:extent cx="1206349" cy="422334"/>
                  <wp:effectExtent l="0" t="0" r="0" b="0"/>
                  <wp:docPr id="52" name="Picture 211928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quavii.png"/>
                          <pic:cNvPicPr/>
                        </pic:nvPicPr>
                        <pic:blipFill>
                          <a:blip r:embed="rId62"/>
                          <a:stretch>
                            <a:fillRect/>
                          </a:stretch>
                        </pic:blipFill>
                        <pic:spPr>
                          <a:xfrm>
                            <a:off x="0" y="0"/>
                            <a:ext cx="1206349" cy="422334"/>
                          </a:xfrm>
                          <a:prstGeom prst="rect">
                            <a:avLst/>
                          </a:prstGeom>
                        </pic:spPr>
                      </pic:pic>
                    </a:graphicData>
                  </a:graphic>
                </wp:inline>
              </w:drawing>
            </w:r>
          </w:p>
        </w:tc>
        <w:tc>
          <w:tcPr>
            <w:tcW w:w="1420" w:type="dxa"/>
            <w:noWrap/>
            <w:vAlign w:val="center"/>
          </w:tcPr>
          <w:p w14:paraId="08C5D9D2" w14:textId="77777777" w:rsidR="00A37447" w:rsidRDefault="00A37447">
            <w:pPr>
              <w:keepNext/>
              <w:jc w:val="center"/>
            </w:pPr>
            <w:r>
              <w:rPr>
                <w:b/>
                <w:color w:val="00838F"/>
                <w:sz w:val="25"/>
              </w:rPr>
              <w:t>71.555</w:t>
            </w:r>
          </w:p>
          <w:p w14:paraId="2941F082" w14:textId="77777777" w:rsidR="00A37447" w:rsidRDefault="00A37447">
            <w:pPr>
              <w:keepNext/>
              <w:jc w:val="center"/>
            </w:pPr>
            <w:r>
              <w:rPr>
                <w:color w:val="595959"/>
                <w:sz w:val="14"/>
              </w:rPr>
              <w:t>CLIENTES TOTALES</w:t>
            </w:r>
          </w:p>
        </w:tc>
        <w:tc>
          <w:tcPr>
            <w:tcW w:w="1420" w:type="dxa"/>
            <w:noWrap/>
            <w:vAlign w:val="center"/>
          </w:tcPr>
          <w:p w14:paraId="61B46CF0" w14:textId="77777777" w:rsidR="00A37447" w:rsidRDefault="00A37447">
            <w:pPr>
              <w:keepNext/>
              <w:jc w:val="center"/>
            </w:pPr>
            <w:r>
              <w:rPr>
                <w:b/>
                <w:color w:val="00838F"/>
                <w:sz w:val="25"/>
              </w:rPr>
              <w:t>71.507</w:t>
            </w:r>
          </w:p>
          <w:p w14:paraId="61C4187D" w14:textId="77777777" w:rsidR="00A37447" w:rsidRDefault="00A37447">
            <w:pPr>
              <w:keepNext/>
              <w:jc w:val="center"/>
            </w:pPr>
            <w:r>
              <w:rPr>
                <w:color w:val="595959"/>
                <w:sz w:val="14"/>
              </w:rPr>
              <w:t>RESIDENCIAL Y COMERCIAL</w:t>
            </w:r>
          </w:p>
        </w:tc>
        <w:tc>
          <w:tcPr>
            <w:tcW w:w="1420" w:type="dxa"/>
            <w:noWrap/>
            <w:vAlign w:val="center"/>
          </w:tcPr>
          <w:p w14:paraId="3AEC636E" w14:textId="77777777" w:rsidR="00A37447" w:rsidRDefault="00A37447">
            <w:pPr>
              <w:keepNext/>
              <w:jc w:val="center"/>
            </w:pPr>
            <w:r>
              <w:rPr>
                <w:b/>
                <w:color w:val="00838F"/>
                <w:sz w:val="25"/>
              </w:rPr>
              <w:t>64 %</w:t>
            </w:r>
          </w:p>
          <w:p w14:paraId="19AF3BA5" w14:textId="77777777" w:rsidR="00A37447" w:rsidRDefault="00A37447">
            <w:pPr>
              <w:keepNext/>
              <w:jc w:val="center"/>
            </w:pPr>
            <w:r>
              <w:rPr>
                <w:color w:val="595959"/>
                <w:sz w:val="14"/>
              </w:rPr>
              <w:t>PENETRACIÓN</w:t>
            </w:r>
          </w:p>
        </w:tc>
        <w:tc>
          <w:tcPr>
            <w:tcW w:w="1420" w:type="dxa"/>
            <w:noWrap/>
            <w:vAlign w:val="center"/>
          </w:tcPr>
          <w:p w14:paraId="728FE3C2" w14:textId="77777777" w:rsidR="00A37447" w:rsidRDefault="00A37447">
            <w:pPr>
              <w:keepNext/>
              <w:jc w:val="center"/>
            </w:pPr>
            <w:r>
              <w:rPr>
                <w:b/>
                <w:color w:val="00838F"/>
                <w:sz w:val="25"/>
              </w:rPr>
              <w:t>15 %</w:t>
            </w:r>
          </w:p>
          <w:p w14:paraId="152179DF" w14:textId="77777777" w:rsidR="00A37447" w:rsidRDefault="00A37447">
            <w:pPr>
              <w:keepNext/>
              <w:jc w:val="center"/>
            </w:pPr>
            <w:r>
              <w:rPr>
                <w:color w:val="595959"/>
                <w:sz w:val="14"/>
              </w:rPr>
              <w:t>COBERTURA</w:t>
            </w:r>
          </w:p>
        </w:tc>
        <w:tc>
          <w:tcPr>
            <w:tcW w:w="1420" w:type="dxa"/>
            <w:noWrap/>
            <w:vAlign w:val="center"/>
          </w:tcPr>
          <w:p w14:paraId="404D252C" w14:textId="77777777" w:rsidR="00A37447" w:rsidRDefault="00A37447">
            <w:pPr>
              <w:keepNext/>
              <w:jc w:val="center"/>
            </w:pPr>
            <w:r>
              <w:rPr>
                <w:b/>
                <w:color w:val="00838F"/>
              </w:rPr>
              <w:t>30,2 MMpcd</w:t>
            </w:r>
          </w:p>
          <w:p w14:paraId="6A97D58F" w14:textId="77777777" w:rsidR="00A37447" w:rsidRDefault="00A37447">
            <w:pPr>
              <w:keepNext/>
              <w:jc w:val="center"/>
            </w:pPr>
            <w:r>
              <w:rPr>
                <w:color w:val="595959"/>
                <w:sz w:val="14"/>
              </w:rPr>
              <w:t>VOLUMEN VENDIDO</w:t>
            </w:r>
          </w:p>
        </w:tc>
      </w:tr>
    </w:tbl>
    <w:p w14:paraId="454934E5" w14:textId="77777777" w:rsidR="00A37447" w:rsidRDefault="00A37447">
      <w:pPr>
        <w:keepNext/>
        <w:rPr>
          <w:rFonts w:cs="Arial"/>
          <w:b/>
          <w:bCs/>
        </w:rPr>
      </w:pPr>
    </w:p>
    <w:p w14:paraId="247F0DD5" w14:textId="56F3493C" w:rsidR="00A37447" w:rsidRPr="0036111A" w:rsidRDefault="00A37447">
      <w:pPr>
        <w:keepLines/>
        <w:rPr>
          <w:rFonts w:cs="Arial"/>
          <w:lang w:val="es-PE"/>
        </w:rPr>
      </w:pPr>
      <w:r w:rsidRPr="0036111A">
        <w:rPr>
          <w:rFonts w:cs="Arial"/>
          <w:lang w:val="es-PE"/>
        </w:rPr>
        <w:t xml:space="preserve">Gases del Norte del Perú (Gasnorp), filial de Promigas, es la empresa operadora de la concesión de distribución del departamento de Piura. Inició operación temprana en abril de 2021, al concretar las primeras conexiones domiciliarias en Piura, Sullana y Talara. En agosto de 2022, un año antes de lo previsto, inició operación comercial, al culminar la construcción del gasoducto de acero de 300 km </w:t>
      </w:r>
      <w:r>
        <w:rPr>
          <w:rFonts w:cs="Arial"/>
          <w:lang w:val="es-PE"/>
        </w:rPr>
        <w:t>–</w:t>
      </w:r>
      <w:r w:rsidRPr="0036111A">
        <w:rPr>
          <w:rFonts w:cs="Arial"/>
          <w:lang w:val="es-PE"/>
        </w:rPr>
        <w:t>que parte de los lotes de Talara</w:t>
      </w:r>
      <w:r>
        <w:rPr>
          <w:rFonts w:cs="Arial"/>
          <w:lang w:val="es-PE"/>
        </w:rPr>
        <w:t>–</w:t>
      </w:r>
      <w:r w:rsidRPr="0036111A">
        <w:rPr>
          <w:rFonts w:cs="Arial"/>
          <w:lang w:val="es-PE"/>
        </w:rPr>
        <w:t xml:space="preserve"> y las cinco estaciones de distribución en las ciudades de la región.</w:t>
      </w:r>
    </w:p>
    <w:p w14:paraId="4641A3E8" w14:textId="66752C7D" w:rsidR="00A37447" w:rsidRDefault="00A37447">
      <w:pPr>
        <w:spacing w:before="160"/>
        <w:jc w:val="center"/>
      </w:pPr>
      <w:r>
        <w:rPr>
          <w:noProof/>
        </w:rPr>
        <w:drawing>
          <wp:inline distT="0" distB="0" distL="0" distR="0" wp14:anchorId="7CEA746D" wp14:editId="49816E8F">
            <wp:extent cx="4320000" cy="2707282"/>
            <wp:effectExtent l="0" t="0" r="0" b="0"/>
            <wp:docPr id="2110891794" name="Imagen 211089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60.png"/>
                    <pic:cNvPicPr/>
                  </pic:nvPicPr>
                  <pic:blipFill>
                    <a:blip r:embed="rId69"/>
                    <a:stretch>
                      <a:fillRect/>
                    </a:stretch>
                  </pic:blipFill>
                  <pic:spPr>
                    <a:xfrm>
                      <a:off x="0" y="0"/>
                      <a:ext cx="4320000" cy="2707282"/>
                    </a:xfrm>
                    <a:prstGeom prst="rect">
                      <a:avLst/>
                    </a:prstGeom>
                  </pic:spPr>
                </pic:pic>
              </a:graphicData>
            </a:graphic>
          </wp:inline>
        </w:drawing>
      </w:r>
    </w:p>
    <w:p w14:paraId="38F932AB" w14:textId="77777777" w:rsidR="00A37447" w:rsidRPr="003E0D14" w:rsidRDefault="00A37447">
      <w:pPr>
        <w:keepNext/>
        <w:keepLines/>
        <w:spacing w:before="160" w:after="20"/>
        <w:rPr>
          <w:lang w:val="es-PE"/>
        </w:rPr>
      </w:pPr>
      <w:r w:rsidRPr="003E0D14">
        <w:rPr>
          <w:b/>
          <w:color w:val="00838F"/>
          <w:sz w:val="20"/>
          <w:lang w:val="es-PE"/>
        </w:rPr>
        <w:t>GASES DEL NORTE: CLIENTES POR SEGMENTO</w:t>
      </w:r>
    </w:p>
    <w:p w14:paraId="4B198C95" w14:textId="77777777" w:rsidR="00A37447" w:rsidRPr="00B4606A" w:rsidRDefault="00A37447">
      <w:pPr>
        <w:keepNext/>
        <w:keepLines/>
        <w:spacing w:after="60"/>
        <w:rPr>
          <w:lang w:val="es-PE"/>
        </w:rPr>
      </w:pPr>
      <w:r w:rsidRPr="00B4606A">
        <w:rPr>
          <w:i/>
          <w:sz w:val="17"/>
          <w:lang w:val="es-PE"/>
        </w:rPr>
        <w:t>Cantidad de conexiones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2FCF16D6" w14:textId="77777777">
        <w:trPr>
          <w:cantSplit/>
          <w:tblHeader/>
        </w:trPr>
        <w:tc>
          <w:tcPr>
            <w:tcW w:w="1063" w:type="dxa"/>
            <w:shd w:val="clear" w:color="auto" w:fill="1F3864"/>
          </w:tcPr>
          <w:p w14:paraId="2E330E64" w14:textId="77777777" w:rsidR="00A37447" w:rsidRDefault="00A37447">
            <w:pPr>
              <w:keepNext/>
            </w:pPr>
            <w:r>
              <w:rPr>
                <w:b/>
                <w:color w:val="FFFFFF"/>
                <w:sz w:val="17"/>
              </w:rPr>
              <w:t>Sector</w:t>
            </w:r>
          </w:p>
        </w:tc>
        <w:tc>
          <w:tcPr>
            <w:tcW w:w="1063" w:type="dxa"/>
            <w:shd w:val="clear" w:color="auto" w:fill="1F3864"/>
            <w:noWrap/>
          </w:tcPr>
          <w:p w14:paraId="77BBD922" w14:textId="77777777" w:rsidR="00A37447" w:rsidRDefault="00A37447">
            <w:pPr>
              <w:keepNext/>
              <w:jc w:val="right"/>
            </w:pPr>
            <w:r>
              <w:rPr>
                <w:b/>
                <w:color w:val="FFFFFF"/>
                <w:sz w:val="17"/>
              </w:rPr>
              <w:t>2021</w:t>
            </w:r>
          </w:p>
        </w:tc>
        <w:tc>
          <w:tcPr>
            <w:tcW w:w="1063" w:type="dxa"/>
            <w:shd w:val="clear" w:color="auto" w:fill="1F3864"/>
            <w:noWrap/>
          </w:tcPr>
          <w:p w14:paraId="7C85E023" w14:textId="77777777" w:rsidR="00A37447" w:rsidRDefault="00A37447">
            <w:pPr>
              <w:keepNext/>
              <w:jc w:val="right"/>
            </w:pPr>
            <w:r>
              <w:rPr>
                <w:b/>
                <w:color w:val="FFFFFF"/>
                <w:sz w:val="17"/>
              </w:rPr>
              <w:t>2022</w:t>
            </w:r>
          </w:p>
        </w:tc>
        <w:tc>
          <w:tcPr>
            <w:tcW w:w="1063" w:type="dxa"/>
            <w:shd w:val="clear" w:color="auto" w:fill="1F3864"/>
            <w:noWrap/>
          </w:tcPr>
          <w:p w14:paraId="36F4A968" w14:textId="77777777" w:rsidR="00A37447" w:rsidRDefault="00A37447">
            <w:pPr>
              <w:keepNext/>
              <w:jc w:val="right"/>
            </w:pPr>
            <w:r>
              <w:rPr>
                <w:b/>
                <w:color w:val="FFFFFF"/>
                <w:sz w:val="17"/>
              </w:rPr>
              <w:t>2023</w:t>
            </w:r>
          </w:p>
        </w:tc>
        <w:tc>
          <w:tcPr>
            <w:tcW w:w="1063" w:type="dxa"/>
            <w:shd w:val="clear" w:color="auto" w:fill="1F3864"/>
            <w:noWrap/>
          </w:tcPr>
          <w:p w14:paraId="6313DD03" w14:textId="77777777" w:rsidR="00A37447" w:rsidRDefault="00A37447">
            <w:pPr>
              <w:keepNext/>
              <w:jc w:val="right"/>
            </w:pPr>
            <w:r>
              <w:rPr>
                <w:b/>
                <w:color w:val="FFFFFF"/>
                <w:sz w:val="17"/>
              </w:rPr>
              <w:t>2024</w:t>
            </w:r>
          </w:p>
        </w:tc>
        <w:tc>
          <w:tcPr>
            <w:tcW w:w="1063" w:type="dxa"/>
            <w:shd w:val="clear" w:color="auto" w:fill="1F3864"/>
            <w:noWrap/>
          </w:tcPr>
          <w:p w14:paraId="0C129AF4" w14:textId="77777777" w:rsidR="00A37447" w:rsidRDefault="00A37447">
            <w:pPr>
              <w:keepNext/>
              <w:jc w:val="right"/>
            </w:pPr>
            <w:r>
              <w:rPr>
                <w:b/>
                <w:color w:val="FFFFFF"/>
                <w:sz w:val="17"/>
              </w:rPr>
              <w:t>2025</w:t>
            </w:r>
          </w:p>
        </w:tc>
        <w:tc>
          <w:tcPr>
            <w:tcW w:w="1063" w:type="dxa"/>
            <w:shd w:val="clear" w:color="auto" w:fill="1F3864"/>
          </w:tcPr>
          <w:p w14:paraId="40CF3478" w14:textId="77777777" w:rsidR="00A37447" w:rsidRDefault="00A37447">
            <w:pPr>
              <w:keepNext/>
              <w:jc w:val="right"/>
            </w:pPr>
            <w:r>
              <w:rPr>
                <w:b/>
                <w:color w:val="FFFFFF"/>
                <w:sz w:val="17"/>
              </w:rPr>
              <w:t>Var. % 2025 vs 2024</w:t>
            </w:r>
          </w:p>
        </w:tc>
        <w:tc>
          <w:tcPr>
            <w:tcW w:w="1063" w:type="dxa"/>
            <w:shd w:val="clear" w:color="auto" w:fill="1F3864"/>
          </w:tcPr>
          <w:p w14:paraId="681CB16A" w14:textId="77777777" w:rsidR="00A37447" w:rsidRDefault="00A37447">
            <w:pPr>
              <w:keepNext/>
              <w:jc w:val="right"/>
            </w:pPr>
            <w:r>
              <w:rPr>
                <w:b/>
                <w:color w:val="FFFFFF"/>
                <w:sz w:val="17"/>
              </w:rPr>
              <w:t>TACC 2021-2025</w:t>
            </w:r>
          </w:p>
        </w:tc>
      </w:tr>
      <w:tr w:rsidR="00855697" w14:paraId="64E182B4" w14:textId="77777777">
        <w:trPr>
          <w:cantSplit/>
        </w:trPr>
        <w:tc>
          <w:tcPr>
            <w:tcW w:w="1063" w:type="dxa"/>
          </w:tcPr>
          <w:p w14:paraId="36ABD5BA" w14:textId="77777777" w:rsidR="00A37447" w:rsidRDefault="00A37447">
            <w:pPr>
              <w:keepNext/>
              <w:spacing w:after="20"/>
            </w:pPr>
            <w:r>
              <w:rPr>
                <w:sz w:val="17"/>
              </w:rPr>
              <w:t>Residencial y comercial</w:t>
            </w:r>
          </w:p>
        </w:tc>
        <w:tc>
          <w:tcPr>
            <w:tcW w:w="1063" w:type="dxa"/>
            <w:noWrap/>
          </w:tcPr>
          <w:p w14:paraId="79330D12" w14:textId="77777777" w:rsidR="00A37447" w:rsidRDefault="00A37447">
            <w:pPr>
              <w:keepNext/>
              <w:spacing w:after="20"/>
              <w:jc w:val="right"/>
            </w:pPr>
            <w:r>
              <w:rPr>
                <w:sz w:val="16"/>
              </w:rPr>
              <w:t>3.684</w:t>
            </w:r>
          </w:p>
        </w:tc>
        <w:tc>
          <w:tcPr>
            <w:tcW w:w="1063" w:type="dxa"/>
            <w:noWrap/>
          </w:tcPr>
          <w:p w14:paraId="368956D6" w14:textId="77777777" w:rsidR="00A37447" w:rsidRDefault="00A37447">
            <w:pPr>
              <w:keepNext/>
              <w:spacing w:after="20"/>
              <w:jc w:val="right"/>
            </w:pPr>
            <w:r>
              <w:rPr>
                <w:sz w:val="16"/>
              </w:rPr>
              <w:t>10.699</w:t>
            </w:r>
          </w:p>
        </w:tc>
        <w:tc>
          <w:tcPr>
            <w:tcW w:w="1063" w:type="dxa"/>
            <w:noWrap/>
          </w:tcPr>
          <w:p w14:paraId="4DD52DC7" w14:textId="77777777" w:rsidR="00A37447" w:rsidRDefault="00A37447">
            <w:pPr>
              <w:keepNext/>
              <w:spacing w:after="20"/>
              <w:jc w:val="right"/>
            </w:pPr>
            <w:r>
              <w:rPr>
                <w:sz w:val="16"/>
              </w:rPr>
              <w:t>18.502</w:t>
            </w:r>
          </w:p>
        </w:tc>
        <w:tc>
          <w:tcPr>
            <w:tcW w:w="1063" w:type="dxa"/>
            <w:noWrap/>
          </w:tcPr>
          <w:p w14:paraId="064A0390" w14:textId="77777777" w:rsidR="00A37447" w:rsidRDefault="00A37447">
            <w:pPr>
              <w:keepNext/>
              <w:spacing w:after="20"/>
              <w:jc w:val="right"/>
            </w:pPr>
            <w:r>
              <w:rPr>
                <w:sz w:val="16"/>
              </w:rPr>
              <w:t>49.469</w:t>
            </w:r>
          </w:p>
        </w:tc>
        <w:tc>
          <w:tcPr>
            <w:tcW w:w="1063" w:type="dxa"/>
            <w:noWrap/>
          </w:tcPr>
          <w:p w14:paraId="60775DBD" w14:textId="77777777" w:rsidR="00A37447" w:rsidRDefault="00A37447">
            <w:pPr>
              <w:keepNext/>
              <w:spacing w:after="20"/>
              <w:jc w:val="right"/>
            </w:pPr>
            <w:r>
              <w:rPr>
                <w:sz w:val="16"/>
              </w:rPr>
              <w:t>71.507</w:t>
            </w:r>
          </w:p>
        </w:tc>
        <w:tc>
          <w:tcPr>
            <w:tcW w:w="1063" w:type="dxa"/>
            <w:noWrap/>
          </w:tcPr>
          <w:p w14:paraId="5E53FEDD" w14:textId="77777777" w:rsidR="00A37447" w:rsidRDefault="00A37447">
            <w:pPr>
              <w:keepNext/>
              <w:spacing w:after="20"/>
              <w:jc w:val="right"/>
            </w:pPr>
            <w:r>
              <w:rPr>
                <w:sz w:val="16"/>
              </w:rPr>
              <w:t>44,5 %</w:t>
            </w:r>
          </w:p>
        </w:tc>
        <w:tc>
          <w:tcPr>
            <w:tcW w:w="1063" w:type="dxa"/>
            <w:noWrap/>
          </w:tcPr>
          <w:p w14:paraId="57655101" w14:textId="77777777" w:rsidR="00A37447" w:rsidRDefault="00A37447">
            <w:pPr>
              <w:keepNext/>
              <w:spacing w:after="20"/>
              <w:jc w:val="right"/>
            </w:pPr>
            <w:r>
              <w:rPr>
                <w:sz w:val="16"/>
              </w:rPr>
              <w:t>109,9 %</w:t>
            </w:r>
          </w:p>
        </w:tc>
      </w:tr>
      <w:tr w:rsidR="00855697" w14:paraId="28ADC383" w14:textId="77777777">
        <w:trPr>
          <w:cantSplit/>
        </w:trPr>
        <w:tc>
          <w:tcPr>
            <w:tcW w:w="1063" w:type="dxa"/>
            <w:noWrap/>
          </w:tcPr>
          <w:p w14:paraId="3A603072" w14:textId="77777777" w:rsidR="00A37447" w:rsidRDefault="00A37447">
            <w:pPr>
              <w:keepNext/>
              <w:spacing w:after="20"/>
            </w:pPr>
            <w:r>
              <w:rPr>
                <w:sz w:val="17"/>
              </w:rPr>
              <w:t>Industrial</w:t>
            </w:r>
          </w:p>
        </w:tc>
        <w:tc>
          <w:tcPr>
            <w:tcW w:w="1063" w:type="dxa"/>
            <w:noWrap/>
          </w:tcPr>
          <w:p w14:paraId="172F6553" w14:textId="77777777" w:rsidR="00A37447" w:rsidRDefault="00A37447">
            <w:pPr>
              <w:keepNext/>
              <w:spacing w:after="20"/>
              <w:jc w:val="right"/>
            </w:pPr>
            <w:r>
              <w:rPr>
                <w:sz w:val="16"/>
              </w:rPr>
              <w:t>1</w:t>
            </w:r>
          </w:p>
        </w:tc>
        <w:tc>
          <w:tcPr>
            <w:tcW w:w="1063" w:type="dxa"/>
            <w:noWrap/>
          </w:tcPr>
          <w:p w14:paraId="104EE7D0" w14:textId="77777777" w:rsidR="00A37447" w:rsidRDefault="00A37447">
            <w:pPr>
              <w:keepNext/>
              <w:spacing w:after="20"/>
              <w:jc w:val="right"/>
            </w:pPr>
            <w:r>
              <w:rPr>
                <w:sz w:val="16"/>
              </w:rPr>
              <w:t>15</w:t>
            </w:r>
          </w:p>
        </w:tc>
        <w:tc>
          <w:tcPr>
            <w:tcW w:w="1063" w:type="dxa"/>
            <w:noWrap/>
          </w:tcPr>
          <w:p w14:paraId="3E1FD50E" w14:textId="77777777" w:rsidR="00A37447" w:rsidRDefault="00A37447">
            <w:pPr>
              <w:keepNext/>
              <w:spacing w:after="20"/>
              <w:jc w:val="right"/>
            </w:pPr>
            <w:r>
              <w:rPr>
                <w:sz w:val="16"/>
              </w:rPr>
              <w:t>29</w:t>
            </w:r>
          </w:p>
        </w:tc>
        <w:tc>
          <w:tcPr>
            <w:tcW w:w="1063" w:type="dxa"/>
            <w:noWrap/>
          </w:tcPr>
          <w:p w14:paraId="663D404B" w14:textId="77777777" w:rsidR="00A37447" w:rsidRDefault="00A37447">
            <w:pPr>
              <w:keepNext/>
              <w:spacing w:after="20"/>
              <w:jc w:val="right"/>
            </w:pPr>
            <w:r>
              <w:rPr>
                <w:sz w:val="16"/>
              </w:rPr>
              <w:t>42</w:t>
            </w:r>
          </w:p>
        </w:tc>
        <w:tc>
          <w:tcPr>
            <w:tcW w:w="1063" w:type="dxa"/>
            <w:noWrap/>
          </w:tcPr>
          <w:p w14:paraId="56D85EA7" w14:textId="77777777" w:rsidR="00A37447" w:rsidRDefault="00A37447">
            <w:pPr>
              <w:keepNext/>
              <w:spacing w:after="20"/>
              <w:jc w:val="right"/>
            </w:pPr>
            <w:r>
              <w:rPr>
                <w:sz w:val="16"/>
              </w:rPr>
              <w:t>47</w:t>
            </w:r>
          </w:p>
        </w:tc>
        <w:tc>
          <w:tcPr>
            <w:tcW w:w="1063" w:type="dxa"/>
            <w:noWrap/>
          </w:tcPr>
          <w:p w14:paraId="45B40B9A" w14:textId="77777777" w:rsidR="00A37447" w:rsidRDefault="00A37447">
            <w:pPr>
              <w:keepNext/>
              <w:spacing w:after="20"/>
              <w:jc w:val="right"/>
            </w:pPr>
            <w:r>
              <w:rPr>
                <w:sz w:val="16"/>
              </w:rPr>
              <w:t>11,9 %</w:t>
            </w:r>
          </w:p>
        </w:tc>
        <w:tc>
          <w:tcPr>
            <w:tcW w:w="1063" w:type="dxa"/>
            <w:noWrap/>
          </w:tcPr>
          <w:p w14:paraId="272DF21B" w14:textId="77777777" w:rsidR="00A37447" w:rsidRDefault="00A37447">
            <w:pPr>
              <w:keepNext/>
              <w:spacing w:after="20"/>
              <w:jc w:val="right"/>
            </w:pPr>
            <w:r>
              <w:rPr>
                <w:sz w:val="16"/>
              </w:rPr>
              <w:t>161,8 %</w:t>
            </w:r>
          </w:p>
        </w:tc>
      </w:tr>
      <w:tr w:rsidR="00855697" w14:paraId="3C9E77EA" w14:textId="77777777">
        <w:trPr>
          <w:cantSplit/>
        </w:trPr>
        <w:tc>
          <w:tcPr>
            <w:tcW w:w="1063" w:type="dxa"/>
          </w:tcPr>
          <w:p w14:paraId="2D3239EE" w14:textId="77777777" w:rsidR="00A37447" w:rsidRPr="0036111A" w:rsidRDefault="00A37447">
            <w:pPr>
              <w:keepNext/>
              <w:spacing w:after="20"/>
              <w:rPr>
                <w:lang w:val="es-PE"/>
              </w:rPr>
            </w:pPr>
            <w:r w:rsidRPr="0036111A">
              <w:rPr>
                <w:sz w:val="17"/>
                <w:lang w:val="es-PE"/>
              </w:rPr>
              <w:t>Estaciones de servicio de GNV</w:t>
            </w:r>
          </w:p>
        </w:tc>
        <w:tc>
          <w:tcPr>
            <w:tcW w:w="1063" w:type="dxa"/>
            <w:noWrap/>
          </w:tcPr>
          <w:p w14:paraId="7AE521EB" w14:textId="77777777" w:rsidR="00A37447" w:rsidRDefault="00A37447">
            <w:pPr>
              <w:keepNext/>
              <w:spacing w:after="20"/>
              <w:jc w:val="right"/>
            </w:pPr>
            <w:r>
              <w:rPr>
                <w:sz w:val="16"/>
              </w:rPr>
              <w:t>0</w:t>
            </w:r>
          </w:p>
        </w:tc>
        <w:tc>
          <w:tcPr>
            <w:tcW w:w="1063" w:type="dxa"/>
            <w:noWrap/>
          </w:tcPr>
          <w:p w14:paraId="435338FF" w14:textId="77777777" w:rsidR="00A37447" w:rsidRDefault="00A37447">
            <w:pPr>
              <w:keepNext/>
              <w:spacing w:after="20"/>
              <w:jc w:val="right"/>
            </w:pPr>
            <w:r>
              <w:rPr>
                <w:sz w:val="16"/>
              </w:rPr>
              <w:t>0</w:t>
            </w:r>
          </w:p>
        </w:tc>
        <w:tc>
          <w:tcPr>
            <w:tcW w:w="1063" w:type="dxa"/>
            <w:noWrap/>
          </w:tcPr>
          <w:p w14:paraId="6ABE5597" w14:textId="77777777" w:rsidR="00A37447" w:rsidRDefault="00A37447">
            <w:pPr>
              <w:keepNext/>
              <w:spacing w:after="20"/>
              <w:jc w:val="right"/>
            </w:pPr>
            <w:r>
              <w:rPr>
                <w:sz w:val="16"/>
              </w:rPr>
              <w:t>0</w:t>
            </w:r>
          </w:p>
        </w:tc>
        <w:tc>
          <w:tcPr>
            <w:tcW w:w="1063" w:type="dxa"/>
            <w:noWrap/>
          </w:tcPr>
          <w:p w14:paraId="22E68296" w14:textId="77777777" w:rsidR="00A37447" w:rsidRDefault="00A37447">
            <w:pPr>
              <w:keepNext/>
              <w:spacing w:after="20"/>
              <w:jc w:val="right"/>
            </w:pPr>
            <w:r>
              <w:rPr>
                <w:sz w:val="16"/>
              </w:rPr>
              <w:t>1</w:t>
            </w:r>
          </w:p>
        </w:tc>
        <w:tc>
          <w:tcPr>
            <w:tcW w:w="1063" w:type="dxa"/>
            <w:noWrap/>
          </w:tcPr>
          <w:p w14:paraId="002C6A38" w14:textId="77777777" w:rsidR="00A37447" w:rsidRDefault="00A37447">
            <w:pPr>
              <w:keepNext/>
              <w:spacing w:after="20"/>
              <w:jc w:val="right"/>
            </w:pPr>
            <w:r>
              <w:rPr>
                <w:sz w:val="16"/>
              </w:rPr>
              <w:t>1</w:t>
            </w:r>
          </w:p>
        </w:tc>
        <w:tc>
          <w:tcPr>
            <w:tcW w:w="1063" w:type="dxa"/>
            <w:noWrap/>
          </w:tcPr>
          <w:p w14:paraId="42F3A2E3" w14:textId="77777777" w:rsidR="00A37447" w:rsidRDefault="00A37447">
            <w:pPr>
              <w:keepNext/>
              <w:spacing w:after="20"/>
              <w:jc w:val="right"/>
            </w:pPr>
            <w:r>
              <w:rPr>
                <w:sz w:val="16"/>
              </w:rPr>
              <w:t>0,0 %</w:t>
            </w:r>
          </w:p>
        </w:tc>
        <w:tc>
          <w:tcPr>
            <w:tcW w:w="1063" w:type="dxa"/>
            <w:noWrap/>
          </w:tcPr>
          <w:p w14:paraId="17BCAF51" w14:textId="77777777" w:rsidR="00A37447" w:rsidRDefault="00A37447">
            <w:pPr>
              <w:keepNext/>
              <w:spacing w:after="20"/>
              <w:jc w:val="right"/>
            </w:pPr>
            <w:r>
              <w:rPr>
                <w:sz w:val="16"/>
              </w:rPr>
              <w:t>n. d.</w:t>
            </w:r>
          </w:p>
        </w:tc>
      </w:tr>
      <w:tr w:rsidR="00855697" w14:paraId="397AD25A" w14:textId="77777777">
        <w:trPr>
          <w:cantSplit/>
        </w:trPr>
        <w:tc>
          <w:tcPr>
            <w:tcW w:w="1063" w:type="dxa"/>
            <w:noWrap/>
          </w:tcPr>
          <w:p w14:paraId="266B1C68" w14:textId="77777777" w:rsidR="00A37447" w:rsidRDefault="00A37447">
            <w:pPr>
              <w:keepNext/>
              <w:spacing w:after="20"/>
            </w:pPr>
            <w:r>
              <w:rPr>
                <w:b/>
                <w:sz w:val="17"/>
              </w:rPr>
              <w:t>Total</w:t>
            </w:r>
          </w:p>
        </w:tc>
        <w:tc>
          <w:tcPr>
            <w:tcW w:w="1063" w:type="dxa"/>
            <w:noWrap/>
          </w:tcPr>
          <w:p w14:paraId="762D97CC" w14:textId="77777777" w:rsidR="00A37447" w:rsidRDefault="00A37447">
            <w:pPr>
              <w:keepNext/>
              <w:spacing w:after="20"/>
              <w:jc w:val="right"/>
            </w:pPr>
            <w:r>
              <w:rPr>
                <w:sz w:val="16"/>
              </w:rPr>
              <w:t>3.685</w:t>
            </w:r>
          </w:p>
        </w:tc>
        <w:tc>
          <w:tcPr>
            <w:tcW w:w="1063" w:type="dxa"/>
            <w:noWrap/>
          </w:tcPr>
          <w:p w14:paraId="4E255B07" w14:textId="77777777" w:rsidR="00A37447" w:rsidRDefault="00A37447">
            <w:pPr>
              <w:keepNext/>
              <w:spacing w:after="20"/>
              <w:jc w:val="right"/>
            </w:pPr>
            <w:r>
              <w:rPr>
                <w:sz w:val="16"/>
              </w:rPr>
              <w:t>10.714</w:t>
            </w:r>
          </w:p>
        </w:tc>
        <w:tc>
          <w:tcPr>
            <w:tcW w:w="1063" w:type="dxa"/>
            <w:noWrap/>
          </w:tcPr>
          <w:p w14:paraId="0A22075E" w14:textId="77777777" w:rsidR="00A37447" w:rsidRDefault="00A37447">
            <w:pPr>
              <w:keepNext/>
              <w:spacing w:after="20"/>
              <w:jc w:val="right"/>
            </w:pPr>
            <w:r>
              <w:rPr>
                <w:sz w:val="16"/>
              </w:rPr>
              <w:t>18.531</w:t>
            </w:r>
          </w:p>
        </w:tc>
        <w:tc>
          <w:tcPr>
            <w:tcW w:w="1063" w:type="dxa"/>
            <w:noWrap/>
          </w:tcPr>
          <w:p w14:paraId="5681633C" w14:textId="77777777" w:rsidR="00A37447" w:rsidRDefault="00A37447">
            <w:pPr>
              <w:keepNext/>
              <w:spacing w:after="20"/>
              <w:jc w:val="right"/>
            </w:pPr>
            <w:r>
              <w:rPr>
                <w:sz w:val="16"/>
              </w:rPr>
              <w:t>49.512</w:t>
            </w:r>
          </w:p>
        </w:tc>
        <w:tc>
          <w:tcPr>
            <w:tcW w:w="1063" w:type="dxa"/>
            <w:noWrap/>
          </w:tcPr>
          <w:p w14:paraId="3CC8D694" w14:textId="77777777" w:rsidR="00A37447" w:rsidRDefault="00A37447">
            <w:pPr>
              <w:keepNext/>
              <w:spacing w:after="20"/>
              <w:jc w:val="right"/>
            </w:pPr>
            <w:r>
              <w:rPr>
                <w:sz w:val="16"/>
              </w:rPr>
              <w:t>71.555</w:t>
            </w:r>
          </w:p>
        </w:tc>
        <w:tc>
          <w:tcPr>
            <w:tcW w:w="1063" w:type="dxa"/>
            <w:noWrap/>
          </w:tcPr>
          <w:p w14:paraId="7FDCC72D" w14:textId="77777777" w:rsidR="00A37447" w:rsidRDefault="00A37447">
            <w:pPr>
              <w:keepNext/>
              <w:spacing w:after="20"/>
              <w:jc w:val="right"/>
            </w:pPr>
            <w:r>
              <w:rPr>
                <w:sz w:val="16"/>
              </w:rPr>
              <w:t>44,5 %</w:t>
            </w:r>
          </w:p>
        </w:tc>
        <w:tc>
          <w:tcPr>
            <w:tcW w:w="1063" w:type="dxa"/>
            <w:noWrap/>
          </w:tcPr>
          <w:p w14:paraId="53D1FA44" w14:textId="77777777" w:rsidR="00A37447" w:rsidRDefault="00A37447">
            <w:pPr>
              <w:keepNext/>
              <w:spacing w:after="20"/>
              <w:jc w:val="right"/>
            </w:pPr>
            <w:r>
              <w:rPr>
                <w:sz w:val="16"/>
              </w:rPr>
              <w:t>109,9 %</w:t>
            </w:r>
          </w:p>
        </w:tc>
      </w:tr>
    </w:tbl>
    <w:p w14:paraId="37E4A3C2" w14:textId="77777777" w:rsidR="00A37447" w:rsidRDefault="00A37447">
      <w:pPr>
        <w:keepLines/>
        <w:spacing w:before="40"/>
        <w:jc w:val="right"/>
      </w:pPr>
      <w:r>
        <w:rPr>
          <w:b/>
          <w:color w:val="404040"/>
          <w:sz w:val="15"/>
        </w:rPr>
        <w:t>FUENTE: Quavii</w:t>
      </w:r>
    </w:p>
    <w:p w14:paraId="460E5653" w14:textId="4E4D6687" w:rsidR="00A37447" w:rsidRDefault="00A37447">
      <w:pPr>
        <w:keepLines/>
        <w:rPr>
          <w:rFonts w:cs="Arial"/>
          <w:lang w:val="es-PE"/>
        </w:rPr>
      </w:pPr>
      <w:r w:rsidRPr="0036111A">
        <w:rPr>
          <w:rFonts w:cs="Arial"/>
          <w:lang w:val="es-PE"/>
        </w:rPr>
        <w:t xml:space="preserve">Al cierre de 2025, en su cuarto año de operación comercial, Gases del Norte registra más de 71 mil conexiones en la región Piura, de las cuales casi la totalidad pertenece al segmento residencial y comercial. Este nivel supera en 45 % las conexiones registradas al cierre de 2024, </w:t>
      </w:r>
      <w:r>
        <w:rPr>
          <w:rFonts w:cs="Arial"/>
          <w:lang w:val="es-PE"/>
        </w:rPr>
        <w:t xml:space="preserve">lo que confirma </w:t>
      </w:r>
      <w:r w:rsidRPr="0036111A">
        <w:rPr>
          <w:rFonts w:cs="Arial"/>
          <w:lang w:val="es-PE"/>
        </w:rPr>
        <w:t>el dinamismo de la concesión más joven del país.</w:t>
      </w:r>
    </w:p>
    <w:p w14:paraId="20E8E00C" w14:textId="77777777" w:rsidR="002B4B90" w:rsidRDefault="002B4B90">
      <w:pPr>
        <w:keepNext/>
        <w:rPr>
          <w:rFonts w:cs="Arial"/>
          <w:lang w:val="es-PE"/>
        </w:rPr>
      </w:pPr>
    </w:p>
    <w:p w14:paraId="596B13E1" w14:textId="77777777" w:rsidR="00A37447" w:rsidRPr="0036111A" w:rsidRDefault="00A37447">
      <w:pPr>
        <w:keepNext/>
        <w:keepLines/>
        <w:spacing w:before="160" w:after="20"/>
        <w:rPr>
          <w:lang w:val="es-PE"/>
        </w:rPr>
      </w:pPr>
      <w:r w:rsidRPr="0036111A">
        <w:rPr>
          <w:b/>
          <w:color w:val="00838F"/>
          <w:sz w:val="20"/>
          <w:lang w:val="es-PE"/>
        </w:rPr>
        <w:t>GASES DEL NORTE: VENTAS POR SEGMENTO</w:t>
      </w:r>
    </w:p>
    <w:p w14:paraId="7BE686BC" w14:textId="77777777" w:rsidR="00A37447" w:rsidRPr="0036111A" w:rsidRDefault="00A37447">
      <w:pPr>
        <w:keepNext/>
        <w:keepLines/>
        <w:spacing w:after="60"/>
        <w:rPr>
          <w:lang w:val="es-PE"/>
        </w:rPr>
      </w:pPr>
      <w:r w:rsidRPr="0036111A">
        <w:rPr>
          <w:i/>
          <w:sz w:val="17"/>
          <w:lang w:val="es-PE"/>
        </w:rPr>
        <w:t>Millones de pies cúbicos diarios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5AF0C32E" w14:textId="77777777">
        <w:trPr>
          <w:cantSplit/>
          <w:tblHeader/>
        </w:trPr>
        <w:tc>
          <w:tcPr>
            <w:tcW w:w="1063" w:type="dxa"/>
            <w:shd w:val="clear" w:color="auto" w:fill="1F3864"/>
          </w:tcPr>
          <w:p w14:paraId="55CBDEFE" w14:textId="77777777" w:rsidR="00A37447" w:rsidRDefault="00A37447">
            <w:pPr>
              <w:keepNext/>
            </w:pPr>
            <w:r>
              <w:rPr>
                <w:b/>
                <w:color w:val="FFFFFF"/>
                <w:sz w:val="17"/>
              </w:rPr>
              <w:t>Sector</w:t>
            </w:r>
          </w:p>
        </w:tc>
        <w:tc>
          <w:tcPr>
            <w:tcW w:w="1063" w:type="dxa"/>
            <w:shd w:val="clear" w:color="auto" w:fill="1F3864"/>
            <w:noWrap/>
          </w:tcPr>
          <w:p w14:paraId="0936AA7E" w14:textId="77777777" w:rsidR="00A37447" w:rsidRDefault="00A37447">
            <w:pPr>
              <w:keepNext/>
              <w:jc w:val="right"/>
            </w:pPr>
            <w:r>
              <w:rPr>
                <w:b/>
                <w:color w:val="FFFFFF"/>
                <w:sz w:val="17"/>
              </w:rPr>
              <w:t>2021</w:t>
            </w:r>
          </w:p>
        </w:tc>
        <w:tc>
          <w:tcPr>
            <w:tcW w:w="1063" w:type="dxa"/>
            <w:shd w:val="clear" w:color="auto" w:fill="1F3864"/>
            <w:noWrap/>
          </w:tcPr>
          <w:p w14:paraId="11374CB0" w14:textId="77777777" w:rsidR="00A37447" w:rsidRDefault="00A37447">
            <w:pPr>
              <w:keepNext/>
              <w:jc w:val="right"/>
            </w:pPr>
            <w:r>
              <w:rPr>
                <w:b/>
                <w:color w:val="FFFFFF"/>
                <w:sz w:val="17"/>
              </w:rPr>
              <w:t>2022</w:t>
            </w:r>
          </w:p>
        </w:tc>
        <w:tc>
          <w:tcPr>
            <w:tcW w:w="1063" w:type="dxa"/>
            <w:shd w:val="clear" w:color="auto" w:fill="1F3864"/>
            <w:noWrap/>
          </w:tcPr>
          <w:p w14:paraId="1185B629" w14:textId="77777777" w:rsidR="00A37447" w:rsidRDefault="00A37447">
            <w:pPr>
              <w:keepNext/>
              <w:jc w:val="right"/>
            </w:pPr>
            <w:r>
              <w:rPr>
                <w:b/>
                <w:color w:val="FFFFFF"/>
                <w:sz w:val="17"/>
              </w:rPr>
              <w:t>2023</w:t>
            </w:r>
          </w:p>
        </w:tc>
        <w:tc>
          <w:tcPr>
            <w:tcW w:w="1063" w:type="dxa"/>
            <w:shd w:val="clear" w:color="auto" w:fill="1F3864"/>
            <w:noWrap/>
          </w:tcPr>
          <w:p w14:paraId="51A9FB8A" w14:textId="77777777" w:rsidR="00A37447" w:rsidRDefault="00A37447">
            <w:pPr>
              <w:keepNext/>
              <w:jc w:val="right"/>
            </w:pPr>
            <w:r>
              <w:rPr>
                <w:b/>
                <w:color w:val="FFFFFF"/>
                <w:sz w:val="17"/>
              </w:rPr>
              <w:t>2024</w:t>
            </w:r>
          </w:p>
        </w:tc>
        <w:tc>
          <w:tcPr>
            <w:tcW w:w="1063" w:type="dxa"/>
            <w:shd w:val="clear" w:color="auto" w:fill="1F3864"/>
            <w:noWrap/>
          </w:tcPr>
          <w:p w14:paraId="0123C344" w14:textId="77777777" w:rsidR="00A37447" w:rsidRDefault="00A37447">
            <w:pPr>
              <w:keepNext/>
              <w:jc w:val="right"/>
            </w:pPr>
            <w:r>
              <w:rPr>
                <w:b/>
                <w:color w:val="FFFFFF"/>
                <w:sz w:val="17"/>
              </w:rPr>
              <w:t>2025</w:t>
            </w:r>
          </w:p>
        </w:tc>
        <w:tc>
          <w:tcPr>
            <w:tcW w:w="1063" w:type="dxa"/>
            <w:shd w:val="clear" w:color="auto" w:fill="1F3864"/>
          </w:tcPr>
          <w:p w14:paraId="5406AAEB" w14:textId="77777777" w:rsidR="00A37447" w:rsidRDefault="00A37447">
            <w:pPr>
              <w:keepNext/>
              <w:jc w:val="right"/>
            </w:pPr>
            <w:r>
              <w:rPr>
                <w:b/>
                <w:color w:val="FFFFFF"/>
                <w:sz w:val="17"/>
              </w:rPr>
              <w:t>Var. % 2025 vs 2024</w:t>
            </w:r>
          </w:p>
        </w:tc>
        <w:tc>
          <w:tcPr>
            <w:tcW w:w="1063" w:type="dxa"/>
            <w:shd w:val="clear" w:color="auto" w:fill="1F3864"/>
          </w:tcPr>
          <w:p w14:paraId="1ED7E173" w14:textId="77777777" w:rsidR="00A37447" w:rsidRDefault="00A37447">
            <w:pPr>
              <w:keepNext/>
              <w:jc w:val="right"/>
            </w:pPr>
            <w:r>
              <w:rPr>
                <w:b/>
                <w:color w:val="FFFFFF"/>
                <w:sz w:val="17"/>
              </w:rPr>
              <w:t>TACC 2021-2025</w:t>
            </w:r>
          </w:p>
        </w:tc>
      </w:tr>
      <w:tr w:rsidR="00855697" w14:paraId="5774F2C8" w14:textId="77777777">
        <w:trPr>
          <w:cantSplit/>
        </w:trPr>
        <w:tc>
          <w:tcPr>
            <w:tcW w:w="1063" w:type="dxa"/>
          </w:tcPr>
          <w:p w14:paraId="617CA3B6" w14:textId="77777777" w:rsidR="00A37447" w:rsidRDefault="00A37447">
            <w:pPr>
              <w:keepNext/>
              <w:spacing w:after="20"/>
            </w:pPr>
            <w:r>
              <w:rPr>
                <w:sz w:val="17"/>
              </w:rPr>
              <w:t>Residencial y comercial</w:t>
            </w:r>
          </w:p>
        </w:tc>
        <w:tc>
          <w:tcPr>
            <w:tcW w:w="1063" w:type="dxa"/>
            <w:noWrap/>
          </w:tcPr>
          <w:p w14:paraId="05A15B75" w14:textId="77777777" w:rsidR="00A37447" w:rsidRDefault="00A37447">
            <w:pPr>
              <w:keepNext/>
              <w:spacing w:after="20"/>
              <w:jc w:val="right"/>
            </w:pPr>
            <w:r>
              <w:rPr>
                <w:sz w:val="16"/>
              </w:rPr>
              <w:t>0,0</w:t>
            </w:r>
          </w:p>
        </w:tc>
        <w:tc>
          <w:tcPr>
            <w:tcW w:w="1063" w:type="dxa"/>
            <w:noWrap/>
          </w:tcPr>
          <w:p w14:paraId="1A3E3EEB" w14:textId="77777777" w:rsidR="00A37447" w:rsidRDefault="00A37447">
            <w:pPr>
              <w:keepNext/>
              <w:spacing w:after="20"/>
              <w:jc w:val="right"/>
            </w:pPr>
            <w:r>
              <w:rPr>
                <w:sz w:val="16"/>
              </w:rPr>
              <w:t>0,1</w:t>
            </w:r>
          </w:p>
        </w:tc>
        <w:tc>
          <w:tcPr>
            <w:tcW w:w="1063" w:type="dxa"/>
            <w:noWrap/>
          </w:tcPr>
          <w:p w14:paraId="610085AD" w14:textId="77777777" w:rsidR="00A37447" w:rsidRDefault="00A37447">
            <w:pPr>
              <w:keepNext/>
              <w:spacing w:after="20"/>
              <w:jc w:val="right"/>
            </w:pPr>
            <w:r>
              <w:rPr>
                <w:sz w:val="16"/>
              </w:rPr>
              <w:t>0,2</w:t>
            </w:r>
          </w:p>
        </w:tc>
        <w:tc>
          <w:tcPr>
            <w:tcW w:w="1063" w:type="dxa"/>
            <w:noWrap/>
          </w:tcPr>
          <w:p w14:paraId="6C15228D" w14:textId="77777777" w:rsidR="00A37447" w:rsidRDefault="00A37447">
            <w:pPr>
              <w:keepNext/>
              <w:spacing w:after="20"/>
              <w:jc w:val="right"/>
            </w:pPr>
            <w:r>
              <w:rPr>
                <w:sz w:val="16"/>
              </w:rPr>
              <w:t>0,5</w:t>
            </w:r>
          </w:p>
        </w:tc>
        <w:tc>
          <w:tcPr>
            <w:tcW w:w="1063" w:type="dxa"/>
            <w:noWrap/>
          </w:tcPr>
          <w:p w14:paraId="01DB59DC" w14:textId="77777777" w:rsidR="00A37447" w:rsidRDefault="00A37447">
            <w:pPr>
              <w:keepNext/>
              <w:spacing w:after="20"/>
              <w:jc w:val="right"/>
            </w:pPr>
            <w:r>
              <w:rPr>
                <w:sz w:val="16"/>
              </w:rPr>
              <w:t>1,0</w:t>
            </w:r>
          </w:p>
        </w:tc>
        <w:tc>
          <w:tcPr>
            <w:tcW w:w="1063" w:type="dxa"/>
            <w:noWrap/>
          </w:tcPr>
          <w:p w14:paraId="57131048" w14:textId="77777777" w:rsidR="00A37447" w:rsidRDefault="00A37447">
            <w:pPr>
              <w:keepNext/>
              <w:spacing w:after="20"/>
              <w:jc w:val="right"/>
            </w:pPr>
            <w:r>
              <w:rPr>
                <w:sz w:val="16"/>
              </w:rPr>
              <w:t>84,7 %</w:t>
            </w:r>
          </w:p>
        </w:tc>
        <w:tc>
          <w:tcPr>
            <w:tcW w:w="1063" w:type="dxa"/>
            <w:noWrap/>
          </w:tcPr>
          <w:p w14:paraId="11647F51" w14:textId="77777777" w:rsidR="00A37447" w:rsidRDefault="00A37447">
            <w:pPr>
              <w:keepNext/>
              <w:spacing w:after="20"/>
              <w:jc w:val="right"/>
            </w:pPr>
            <w:r>
              <w:rPr>
                <w:sz w:val="16"/>
              </w:rPr>
              <w:t>216,8 %</w:t>
            </w:r>
          </w:p>
        </w:tc>
      </w:tr>
      <w:tr w:rsidR="00855697" w14:paraId="15BDCF8F" w14:textId="77777777">
        <w:trPr>
          <w:cantSplit/>
        </w:trPr>
        <w:tc>
          <w:tcPr>
            <w:tcW w:w="1063" w:type="dxa"/>
            <w:noWrap/>
          </w:tcPr>
          <w:p w14:paraId="3C92D0E0" w14:textId="77777777" w:rsidR="00A37447" w:rsidRDefault="00A37447">
            <w:pPr>
              <w:keepNext/>
              <w:spacing w:after="20"/>
            </w:pPr>
            <w:r>
              <w:rPr>
                <w:sz w:val="17"/>
              </w:rPr>
              <w:t>Industrial</w:t>
            </w:r>
          </w:p>
        </w:tc>
        <w:tc>
          <w:tcPr>
            <w:tcW w:w="1063" w:type="dxa"/>
            <w:noWrap/>
          </w:tcPr>
          <w:p w14:paraId="676402A1" w14:textId="77777777" w:rsidR="00A37447" w:rsidRDefault="00A37447">
            <w:pPr>
              <w:keepNext/>
              <w:spacing w:after="20"/>
              <w:jc w:val="right"/>
            </w:pPr>
            <w:r>
              <w:rPr>
                <w:sz w:val="16"/>
              </w:rPr>
              <w:t>4,7</w:t>
            </w:r>
          </w:p>
        </w:tc>
        <w:tc>
          <w:tcPr>
            <w:tcW w:w="1063" w:type="dxa"/>
            <w:noWrap/>
          </w:tcPr>
          <w:p w14:paraId="02C5D1DA" w14:textId="77777777" w:rsidR="00A37447" w:rsidRDefault="00A37447">
            <w:pPr>
              <w:keepNext/>
              <w:spacing w:after="20"/>
              <w:jc w:val="right"/>
            </w:pPr>
            <w:r>
              <w:rPr>
                <w:sz w:val="16"/>
              </w:rPr>
              <w:t>11,2</w:t>
            </w:r>
          </w:p>
        </w:tc>
        <w:tc>
          <w:tcPr>
            <w:tcW w:w="1063" w:type="dxa"/>
            <w:noWrap/>
          </w:tcPr>
          <w:p w14:paraId="7A10593B" w14:textId="77777777" w:rsidR="00A37447" w:rsidRDefault="00A37447">
            <w:pPr>
              <w:keepNext/>
              <w:spacing w:after="20"/>
              <w:jc w:val="right"/>
            </w:pPr>
            <w:r>
              <w:rPr>
                <w:sz w:val="16"/>
              </w:rPr>
              <w:t>20,9</w:t>
            </w:r>
          </w:p>
        </w:tc>
        <w:tc>
          <w:tcPr>
            <w:tcW w:w="1063" w:type="dxa"/>
            <w:noWrap/>
          </w:tcPr>
          <w:p w14:paraId="603C1FC0" w14:textId="77777777" w:rsidR="00A37447" w:rsidRDefault="00A37447">
            <w:pPr>
              <w:keepNext/>
              <w:spacing w:after="20"/>
              <w:jc w:val="right"/>
            </w:pPr>
            <w:r>
              <w:rPr>
                <w:sz w:val="16"/>
              </w:rPr>
              <w:t>28,0</w:t>
            </w:r>
          </w:p>
        </w:tc>
        <w:tc>
          <w:tcPr>
            <w:tcW w:w="1063" w:type="dxa"/>
            <w:noWrap/>
          </w:tcPr>
          <w:p w14:paraId="7D9AE821" w14:textId="77777777" w:rsidR="00A37447" w:rsidRDefault="00A37447">
            <w:pPr>
              <w:keepNext/>
              <w:spacing w:after="20"/>
              <w:jc w:val="right"/>
            </w:pPr>
            <w:r>
              <w:rPr>
                <w:sz w:val="16"/>
              </w:rPr>
              <w:t>29,2</w:t>
            </w:r>
          </w:p>
        </w:tc>
        <w:tc>
          <w:tcPr>
            <w:tcW w:w="1063" w:type="dxa"/>
            <w:noWrap/>
          </w:tcPr>
          <w:p w14:paraId="3AC842F5" w14:textId="77777777" w:rsidR="00A37447" w:rsidRDefault="00A37447">
            <w:pPr>
              <w:keepNext/>
              <w:spacing w:after="20"/>
              <w:jc w:val="right"/>
            </w:pPr>
            <w:r>
              <w:rPr>
                <w:sz w:val="16"/>
              </w:rPr>
              <w:t>4,3 %</w:t>
            </w:r>
          </w:p>
        </w:tc>
        <w:tc>
          <w:tcPr>
            <w:tcW w:w="1063" w:type="dxa"/>
            <w:noWrap/>
          </w:tcPr>
          <w:p w14:paraId="2FBD8C58" w14:textId="77777777" w:rsidR="00A37447" w:rsidRDefault="00A37447">
            <w:pPr>
              <w:keepNext/>
              <w:spacing w:after="20"/>
              <w:jc w:val="right"/>
            </w:pPr>
            <w:r>
              <w:rPr>
                <w:sz w:val="16"/>
              </w:rPr>
              <w:t>57,6 %</w:t>
            </w:r>
          </w:p>
        </w:tc>
      </w:tr>
      <w:tr w:rsidR="00855697" w14:paraId="446F398E" w14:textId="77777777">
        <w:trPr>
          <w:cantSplit/>
        </w:trPr>
        <w:tc>
          <w:tcPr>
            <w:tcW w:w="1063" w:type="dxa"/>
          </w:tcPr>
          <w:p w14:paraId="2DD04E48" w14:textId="77777777" w:rsidR="00A37447" w:rsidRPr="0036111A" w:rsidRDefault="00A37447">
            <w:pPr>
              <w:keepNext/>
              <w:spacing w:after="20"/>
              <w:rPr>
                <w:lang w:val="es-PE"/>
              </w:rPr>
            </w:pPr>
            <w:r w:rsidRPr="0036111A">
              <w:rPr>
                <w:sz w:val="17"/>
                <w:lang w:val="es-PE"/>
              </w:rPr>
              <w:t>Estaciones de servicio de GNV</w:t>
            </w:r>
          </w:p>
        </w:tc>
        <w:tc>
          <w:tcPr>
            <w:tcW w:w="1063" w:type="dxa"/>
            <w:noWrap/>
          </w:tcPr>
          <w:p w14:paraId="2B57F5E0" w14:textId="77777777" w:rsidR="00A37447" w:rsidRDefault="00A37447">
            <w:pPr>
              <w:keepNext/>
              <w:spacing w:after="20"/>
              <w:jc w:val="right"/>
            </w:pPr>
            <w:r>
              <w:rPr>
                <w:sz w:val="16"/>
              </w:rPr>
              <w:t>0,0</w:t>
            </w:r>
          </w:p>
        </w:tc>
        <w:tc>
          <w:tcPr>
            <w:tcW w:w="1063" w:type="dxa"/>
            <w:noWrap/>
          </w:tcPr>
          <w:p w14:paraId="6880646B" w14:textId="77777777" w:rsidR="00A37447" w:rsidRDefault="00A37447">
            <w:pPr>
              <w:keepNext/>
              <w:spacing w:after="20"/>
              <w:jc w:val="right"/>
            </w:pPr>
            <w:r>
              <w:rPr>
                <w:sz w:val="16"/>
              </w:rPr>
              <w:t>0,0</w:t>
            </w:r>
          </w:p>
        </w:tc>
        <w:tc>
          <w:tcPr>
            <w:tcW w:w="1063" w:type="dxa"/>
            <w:noWrap/>
          </w:tcPr>
          <w:p w14:paraId="2099591B" w14:textId="77777777" w:rsidR="00A37447" w:rsidRDefault="00A37447">
            <w:pPr>
              <w:keepNext/>
              <w:spacing w:after="20"/>
              <w:jc w:val="right"/>
            </w:pPr>
            <w:r>
              <w:rPr>
                <w:sz w:val="16"/>
              </w:rPr>
              <w:t>0,0</w:t>
            </w:r>
          </w:p>
        </w:tc>
        <w:tc>
          <w:tcPr>
            <w:tcW w:w="1063" w:type="dxa"/>
            <w:noWrap/>
          </w:tcPr>
          <w:p w14:paraId="35FC1A6E" w14:textId="77777777" w:rsidR="00A37447" w:rsidRDefault="00A37447">
            <w:pPr>
              <w:keepNext/>
              <w:spacing w:after="20"/>
              <w:jc w:val="right"/>
            </w:pPr>
            <w:r>
              <w:rPr>
                <w:sz w:val="16"/>
              </w:rPr>
              <w:t>0,0</w:t>
            </w:r>
          </w:p>
        </w:tc>
        <w:tc>
          <w:tcPr>
            <w:tcW w:w="1063" w:type="dxa"/>
            <w:noWrap/>
          </w:tcPr>
          <w:p w14:paraId="238EBB97" w14:textId="77777777" w:rsidR="00A37447" w:rsidRDefault="00A37447">
            <w:pPr>
              <w:keepNext/>
              <w:spacing w:after="20"/>
              <w:jc w:val="right"/>
            </w:pPr>
            <w:r>
              <w:rPr>
                <w:sz w:val="16"/>
              </w:rPr>
              <w:t>0,0</w:t>
            </w:r>
          </w:p>
        </w:tc>
        <w:tc>
          <w:tcPr>
            <w:tcW w:w="1063" w:type="dxa"/>
            <w:noWrap/>
          </w:tcPr>
          <w:p w14:paraId="35BF4A3A" w14:textId="77777777" w:rsidR="00A37447" w:rsidRDefault="00A37447">
            <w:pPr>
              <w:keepNext/>
              <w:spacing w:after="20"/>
              <w:jc w:val="right"/>
            </w:pPr>
            <w:r>
              <w:rPr>
                <w:sz w:val="16"/>
              </w:rPr>
              <w:t>n. d.</w:t>
            </w:r>
          </w:p>
        </w:tc>
        <w:tc>
          <w:tcPr>
            <w:tcW w:w="1063" w:type="dxa"/>
            <w:noWrap/>
          </w:tcPr>
          <w:p w14:paraId="068F59A8" w14:textId="77777777" w:rsidR="00A37447" w:rsidRDefault="00A37447">
            <w:pPr>
              <w:keepNext/>
              <w:spacing w:after="20"/>
              <w:jc w:val="right"/>
            </w:pPr>
            <w:r>
              <w:rPr>
                <w:sz w:val="16"/>
              </w:rPr>
              <w:t>n. d.</w:t>
            </w:r>
          </w:p>
        </w:tc>
      </w:tr>
      <w:tr w:rsidR="00855697" w14:paraId="7587097F" w14:textId="77777777">
        <w:trPr>
          <w:cantSplit/>
        </w:trPr>
        <w:tc>
          <w:tcPr>
            <w:tcW w:w="1063" w:type="dxa"/>
            <w:noWrap/>
          </w:tcPr>
          <w:p w14:paraId="79FFC6E9" w14:textId="77777777" w:rsidR="00A37447" w:rsidRDefault="00A37447">
            <w:pPr>
              <w:keepNext/>
              <w:spacing w:after="20"/>
            </w:pPr>
            <w:r>
              <w:rPr>
                <w:b/>
                <w:sz w:val="17"/>
              </w:rPr>
              <w:t>Total</w:t>
            </w:r>
          </w:p>
        </w:tc>
        <w:tc>
          <w:tcPr>
            <w:tcW w:w="1063" w:type="dxa"/>
            <w:noWrap/>
          </w:tcPr>
          <w:p w14:paraId="647EE00A" w14:textId="77777777" w:rsidR="00A37447" w:rsidRDefault="00A37447">
            <w:pPr>
              <w:keepNext/>
              <w:spacing w:after="20"/>
              <w:jc w:val="right"/>
            </w:pPr>
            <w:r>
              <w:rPr>
                <w:sz w:val="16"/>
              </w:rPr>
              <w:t>4,8</w:t>
            </w:r>
          </w:p>
        </w:tc>
        <w:tc>
          <w:tcPr>
            <w:tcW w:w="1063" w:type="dxa"/>
            <w:noWrap/>
          </w:tcPr>
          <w:p w14:paraId="7265C229" w14:textId="77777777" w:rsidR="00A37447" w:rsidRDefault="00A37447">
            <w:pPr>
              <w:keepNext/>
              <w:spacing w:after="20"/>
              <w:jc w:val="right"/>
            </w:pPr>
            <w:r>
              <w:rPr>
                <w:sz w:val="16"/>
              </w:rPr>
              <w:t>11,3</w:t>
            </w:r>
          </w:p>
        </w:tc>
        <w:tc>
          <w:tcPr>
            <w:tcW w:w="1063" w:type="dxa"/>
            <w:noWrap/>
          </w:tcPr>
          <w:p w14:paraId="44D699A1" w14:textId="77777777" w:rsidR="00A37447" w:rsidRDefault="00A37447">
            <w:pPr>
              <w:keepNext/>
              <w:spacing w:after="20"/>
              <w:jc w:val="right"/>
            </w:pPr>
            <w:r>
              <w:rPr>
                <w:sz w:val="16"/>
              </w:rPr>
              <w:t>21,1</w:t>
            </w:r>
          </w:p>
        </w:tc>
        <w:tc>
          <w:tcPr>
            <w:tcW w:w="1063" w:type="dxa"/>
            <w:noWrap/>
          </w:tcPr>
          <w:p w14:paraId="77D07D57" w14:textId="77777777" w:rsidR="00A37447" w:rsidRDefault="00A37447">
            <w:pPr>
              <w:keepNext/>
              <w:spacing w:after="20"/>
              <w:jc w:val="right"/>
            </w:pPr>
            <w:r>
              <w:rPr>
                <w:sz w:val="16"/>
              </w:rPr>
              <w:t>28,5</w:t>
            </w:r>
          </w:p>
        </w:tc>
        <w:tc>
          <w:tcPr>
            <w:tcW w:w="1063" w:type="dxa"/>
            <w:noWrap/>
          </w:tcPr>
          <w:p w14:paraId="14657A3B" w14:textId="77777777" w:rsidR="00A37447" w:rsidRDefault="00A37447">
            <w:pPr>
              <w:keepNext/>
              <w:spacing w:after="20"/>
              <w:jc w:val="right"/>
            </w:pPr>
            <w:r>
              <w:rPr>
                <w:sz w:val="16"/>
              </w:rPr>
              <w:t>30,2</w:t>
            </w:r>
          </w:p>
        </w:tc>
        <w:tc>
          <w:tcPr>
            <w:tcW w:w="1063" w:type="dxa"/>
            <w:noWrap/>
          </w:tcPr>
          <w:p w14:paraId="140ED438" w14:textId="77777777" w:rsidR="00A37447" w:rsidRDefault="00A37447">
            <w:pPr>
              <w:keepNext/>
              <w:spacing w:after="20"/>
              <w:jc w:val="right"/>
            </w:pPr>
            <w:r>
              <w:rPr>
                <w:sz w:val="16"/>
              </w:rPr>
              <w:t>5,9 %</w:t>
            </w:r>
          </w:p>
        </w:tc>
        <w:tc>
          <w:tcPr>
            <w:tcW w:w="1063" w:type="dxa"/>
            <w:noWrap/>
          </w:tcPr>
          <w:p w14:paraId="17F03752" w14:textId="77777777" w:rsidR="00A37447" w:rsidRDefault="00A37447">
            <w:pPr>
              <w:keepNext/>
              <w:spacing w:after="20"/>
              <w:jc w:val="right"/>
            </w:pPr>
            <w:r>
              <w:rPr>
                <w:sz w:val="16"/>
              </w:rPr>
              <w:t>58,8 %</w:t>
            </w:r>
          </w:p>
        </w:tc>
      </w:tr>
    </w:tbl>
    <w:p w14:paraId="58843CA1" w14:textId="77777777" w:rsidR="00A37447" w:rsidRDefault="00A37447">
      <w:pPr>
        <w:keepLines/>
        <w:spacing w:before="40"/>
        <w:jc w:val="right"/>
      </w:pPr>
      <w:r>
        <w:rPr>
          <w:b/>
          <w:color w:val="404040"/>
          <w:sz w:val="15"/>
        </w:rPr>
        <w:t>FUENTE: Quavii</w:t>
      </w:r>
    </w:p>
    <w:p w14:paraId="764DFD8D" w14:textId="0A6330D2" w:rsidR="00A37447" w:rsidRPr="0036111A" w:rsidRDefault="00A37447">
      <w:pPr>
        <w:keepLines/>
        <w:rPr>
          <w:lang w:val="es-PE"/>
        </w:rPr>
      </w:pPr>
      <w:r w:rsidRPr="0036111A">
        <w:rPr>
          <w:lang w:val="es-PE"/>
        </w:rPr>
        <w:t xml:space="preserve">En 2025, el volumen de gas natural vendido en la Concesión Piura creció 6 % respecto a 2024, </w:t>
      </w:r>
      <w:r>
        <w:rPr>
          <w:lang w:val="es-PE"/>
        </w:rPr>
        <w:t xml:space="preserve">y alcanzó </w:t>
      </w:r>
      <w:r w:rsidRPr="0036111A">
        <w:rPr>
          <w:lang w:val="es-PE"/>
        </w:rPr>
        <w:t>los 30 MMpcd. El segmento industrial continuó dominando las ventas (96 % del total), con la Nueva Refinería de Talara como principal cliente. El segmento residencial y comercial mostró un crecimiento notable de 85 % desde una base reducida, reflejando la incorporación de nuevos usuarios domésticos, y el incipiente segmento vehicular registró sus primeras ventas durante el año.</w:t>
      </w:r>
    </w:p>
    <w:p w14:paraId="429B9BB1" w14:textId="4C6931D7" w:rsidR="00A37447" w:rsidRPr="0036111A" w:rsidRDefault="00A37447">
      <w:pPr>
        <w:keepLines/>
        <w:rPr>
          <w:lang w:val="es-PE"/>
        </w:rPr>
      </w:pPr>
      <w:r w:rsidRPr="0036111A">
        <w:rPr>
          <w:rFonts w:cs="Arial"/>
          <w:lang w:val="es-PE"/>
        </w:rPr>
        <w:t>Durante 2025, la empresa logró conectar alrededor de 22 mil nuevos usuarios residenciales. El</w:t>
      </w:r>
      <w:r w:rsidR="006D7FC4">
        <w:rPr>
          <w:rFonts w:cs="Arial"/>
          <w:lang w:val="es-PE"/>
        </w:rPr>
        <w:t xml:space="preserve"> </w:t>
      </w:r>
      <w:r w:rsidRPr="0036111A">
        <w:rPr>
          <w:rFonts w:cs="Arial"/>
          <w:lang w:val="es-PE"/>
        </w:rPr>
        <w:t xml:space="preserve">ratio de penetración </w:t>
      </w:r>
      <w:r>
        <w:rPr>
          <w:rFonts w:cs="Arial"/>
          <w:lang w:val="es-PE"/>
        </w:rPr>
        <w:t>–</w:t>
      </w:r>
      <w:r w:rsidRPr="0036111A">
        <w:rPr>
          <w:rFonts w:cs="Arial"/>
          <w:lang w:val="es-PE"/>
        </w:rPr>
        <w:t>porcentaje de viviendas anilladas que han contratado el servicio</w:t>
      </w:r>
      <w:r>
        <w:rPr>
          <w:rFonts w:cs="Arial"/>
          <w:lang w:val="es-PE"/>
        </w:rPr>
        <w:t>–</w:t>
      </w:r>
      <w:r w:rsidRPr="0036111A">
        <w:rPr>
          <w:rFonts w:cs="Arial"/>
          <w:lang w:val="es-PE"/>
        </w:rPr>
        <w:t xml:space="preserve"> alcanzó el 64 %, gracias a una red que ya supera los 112 mil puntos de anillado. </w:t>
      </w:r>
      <w:r>
        <w:rPr>
          <w:rFonts w:cs="Arial"/>
          <w:lang w:val="es-PE"/>
        </w:rPr>
        <w:t>D</w:t>
      </w:r>
      <w:r w:rsidRPr="0036111A">
        <w:rPr>
          <w:rFonts w:cs="Arial"/>
          <w:lang w:val="es-PE"/>
        </w:rPr>
        <w:t>esde el 11 % de 2024</w:t>
      </w:r>
      <w:r>
        <w:rPr>
          <w:rFonts w:cs="Arial"/>
          <w:lang w:val="es-PE"/>
        </w:rPr>
        <w:t>, l</w:t>
      </w:r>
      <w:r w:rsidRPr="0036111A">
        <w:rPr>
          <w:rFonts w:cs="Arial"/>
          <w:lang w:val="es-PE"/>
        </w:rPr>
        <w:t>a cobertura avanzó hasta el 15 % de los clientes potenciales de la región. Las inversiones en la concesión se mantuvieron en torno a US$ 23 millones, orientadas en su mayoría a la construcción de redes de distribución para el segmento residencial.</w:t>
      </w:r>
    </w:p>
    <w:p w14:paraId="6416D11D" w14:textId="7AA9D4D3" w:rsidR="00C75A27" w:rsidRDefault="00D4093E">
      <w:pPr>
        <w:spacing w:before="160"/>
        <w:jc w:val="center"/>
      </w:pPr>
      <w:r>
        <w:rPr>
          <w:noProof/>
        </w:rPr>
        <w:drawing>
          <wp:inline distT="0" distB="0" distL="0" distR="0" wp14:anchorId="057B529F" wp14:editId="671D5C1A">
            <wp:extent cx="4320000" cy="2707282"/>
            <wp:effectExtent l="0" t="0" r="0" b="0"/>
            <wp:docPr id="2110891813" name="Imagen 211089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7.png"/>
                    <pic:cNvPicPr/>
                  </pic:nvPicPr>
                  <pic:blipFill>
                    <a:blip r:embed="rId70"/>
                    <a:stretch>
                      <a:fillRect/>
                    </a:stretch>
                  </pic:blipFill>
                  <pic:spPr>
                    <a:xfrm>
                      <a:off x="0" y="0"/>
                      <a:ext cx="4320000" cy="2707282"/>
                    </a:xfrm>
                    <a:prstGeom prst="rect">
                      <a:avLst/>
                    </a:prstGeom>
                  </pic:spPr>
                </pic:pic>
              </a:graphicData>
            </a:graphic>
          </wp:inline>
        </w:drawing>
      </w:r>
    </w:p>
    <w:p w14:paraId="5A614390" w14:textId="77777777" w:rsidR="00C75A27" w:rsidRDefault="00D4093E">
      <w:pPr>
        <w:spacing w:before="160"/>
        <w:jc w:val="center"/>
      </w:pPr>
      <w:r>
        <w:rPr>
          <w:noProof/>
        </w:rPr>
        <w:lastRenderedPageBreak/>
        <w:drawing>
          <wp:inline distT="0" distB="0" distL="0" distR="0" wp14:anchorId="6C633014" wp14:editId="343858EA">
            <wp:extent cx="4320000" cy="2707282"/>
            <wp:effectExtent l="0" t="0" r="0" b="0"/>
            <wp:docPr id="2110891796" name="Imagen 211089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62.png"/>
                    <pic:cNvPicPr/>
                  </pic:nvPicPr>
                  <pic:blipFill>
                    <a:blip r:embed="rId71"/>
                    <a:stretch>
                      <a:fillRect/>
                    </a:stretch>
                  </pic:blipFill>
                  <pic:spPr>
                    <a:xfrm>
                      <a:off x="0" y="0"/>
                      <a:ext cx="4320000" cy="2707282"/>
                    </a:xfrm>
                    <a:prstGeom prst="rect">
                      <a:avLst/>
                    </a:prstGeom>
                  </pic:spPr>
                </pic:pic>
              </a:graphicData>
            </a:graphic>
          </wp:inline>
        </w:drawing>
      </w:r>
    </w:p>
    <w:p w14:paraId="66B0A3F9" w14:textId="2949064B" w:rsidR="00A37447" w:rsidRDefault="00A37447">
      <w:pPr>
        <w:keepNext/>
        <w:spacing w:before="160"/>
        <w:jc w:val="center"/>
      </w:pPr>
    </w:p>
    <w:p w14:paraId="07ED6D1D" w14:textId="77777777" w:rsidR="00A37447" w:rsidRDefault="00A37447">
      <w:pPr>
        <w:keepNext/>
        <w:keepLines/>
        <w:pageBreakBefore/>
        <w:outlineLvl w:val="4"/>
        <w:rPr>
          <w:rFonts w:cs="Arial"/>
          <w:b/>
          <w:bCs/>
        </w:rPr>
      </w:pPr>
      <w:bookmarkStart w:id="20" w:name="_Toc235083032"/>
      <w:r>
        <w:rPr>
          <w:rFonts w:cs="Arial"/>
          <w:b/>
          <w:bCs/>
        </w:rPr>
        <w:lastRenderedPageBreak/>
        <w:t>Petroperú (Concesión Sur Oeste)</w:t>
      </w:r>
      <w:bookmarkEnd w:id="20"/>
    </w:p>
    <w:tbl>
      <w:tblPr>
        <w:tblW w:w="0" w:type="auto"/>
        <w:tblBorders>
          <w:top w:val="single" w:sz="8" w:space="0" w:color="1F3864"/>
          <w:left w:val="single" w:sz="8" w:space="0" w:color="1F3864"/>
          <w:bottom w:val="single" w:sz="8" w:space="0" w:color="1F3864"/>
          <w:right w:val="single" w:sz="8" w:space="0" w:color="1F3864"/>
          <w:insideV w:val="single" w:sz="4" w:space="0" w:color="D9D9D9"/>
        </w:tblBorders>
        <w:tblLayout w:type="fixed"/>
        <w:tblCellMar>
          <w:top w:w="80" w:type="dxa"/>
          <w:left w:w="80" w:type="dxa"/>
          <w:bottom w:w="80" w:type="dxa"/>
          <w:right w:w="80" w:type="dxa"/>
        </w:tblCellMar>
        <w:tblLook w:val="04A0" w:firstRow="1" w:lastRow="0" w:firstColumn="1" w:lastColumn="0" w:noHBand="0" w:noVBand="1"/>
      </w:tblPr>
      <w:tblGrid>
        <w:gridCol w:w="2100"/>
        <w:gridCol w:w="3550"/>
        <w:gridCol w:w="3550"/>
      </w:tblGrid>
      <w:tr w:rsidR="00855697" w14:paraId="2AA40480" w14:textId="77777777">
        <w:trPr>
          <w:cantSplit/>
          <w:tblHeader/>
        </w:trPr>
        <w:tc>
          <w:tcPr>
            <w:tcW w:w="2100" w:type="dxa"/>
            <w:shd w:val="clear" w:color="auto" w:fill="F2F5FA"/>
            <w:vAlign w:val="center"/>
          </w:tcPr>
          <w:p w14:paraId="3A7F986C" w14:textId="77777777" w:rsidR="00A37447" w:rsidRDefault="00A37447">
            <w:pPr>
              <w:keepNext/>
              <w:jc w:val="center"/>
            </w:pPr>
            <w:r>
              <w:rPr>
                <w:noProof/>
              </w:rPr>
              <w:drawing>
                <wp:inline distT="0" distB="0" distL="0" distR="0" wp14:anchorId="3ADE8560" wp14:editId="05AF8075">
                  <wp:extent cx="936000" cy="940333"/>
                  <wp:effectExtent l="0" t="0" r="0" b="0"/>
                  <wp:docPr id="56" name="Picture 2119286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etroperu.png"/>
                          <pic:cNvPicPr/>
                        </pic:nvPicPr>
                        <pic:blipFill>
                          <a:blip r:embed="rId72"/>
                          <a:stretch>
                            <a:fillRect/>
                          </a:stretch>
                        </pic:blipFill>
                        <pic:spPr>
                          <a:xfrm>
                            <a:off x="0" y="0"/>
                            <a:ext cx="936000" cy="940333"/>
                          </a:xfrm>
                          <a:prstGeom prst="rect">
                            <a:avLst/>
                          </a:prstGeom>
                        </pic:spPr>
                      </pic:pic>
                    </a:graphicData>
                  </a:graphic>
                </wp:inline>
              </w:drawing>
            </w:r>
          </w:p>
        </w:tc>
        <w:tc>
          <w:tcPr>
            <w:tcW w:w="3550" w:type="dxa"/>
            <w:noWrap/>
            <w:vAlign w:val="center"/>
          </w:tcPr>
          <w:p w14:paraId="4C074B7D" w14:textId="77777777" w:rsidR="00A37447" w:rsidRDefault="00A37447">
            <w:pPr>
              <w:keepNext/>
              <w:jc w:val="center"/>
            </w:pPr>
            <w:r>
              <w:rPr>
                <w:b/>
                <w:color w:val="00838F"/>
                <w:sz w:val="25"/>
              </w:rPr>
              <w:t>13.843</w:t>
            </w:r>
          </w:p>
          <w:p w14:paraId="4EE7D599" w14:textId="77777777" w:rsidR="00A37447" w:rsidRDefault="00A37447">
            <w:pPr>
              <w:keepNext/>
              <w:jc w:val="center"/>
            </w:pPr>
            <w:r>
              <w:rPr>
                <w:color w:val="595959"/>
                <w:sz w:val="14"/>
              </w:rPr>
              <w:t>CLIENTES TOTALES</w:t>
            </w:r>
          </w:p>
        </w:tc>
        <w:tc>
          <w:tcPr>
            <w:tcW w:w="3550" w:type="dxa"/>
            <w:noWrap/>
            <w:vAlign w:val="center"/>
          </w:tcPr>
          <w:p w14:paraId="2EFA2A98" w14:textId="77777777" w:rsidR="00A37447" w:rsidRDefault="00A37447">
            <w:pPr>
              <w:keepNext/>
              <w:jc w:val="center"/>
            </w:pPr>
            <w:r>
              <w:rPr>
                <w:b/>
                <w:color w:val="00838F"/>
              </w:rPr>
              <w:t>3,6 MMpcd</w:t>
            </w:r>
          </w:p>
          <w:p w14:paraId="4E40E528" w14:textId="77777777" w:rsidR="00A37447" w:rsidRDefault="00A37447">
            <w:pPr>
              <w:keepNext/>
              <w:jc w:val="center"/>
            </w:pPr>
            <w:r>
              <w:rPr>
                <w:color w:val="595959"/>
                <w:sz w:val="14"/>
              </w:rPr>
              <w:t>VOLUMEN VENDIDO</w:t>
            </w:r>
          </w:p>
        </w:tc>
      </w:tr>
    </w:tbl>
    <w:p w14:paraId="6069D915" w14:textId="77777777" w:rsidR="00A37447" w:rsidRPr="0036111A" w:rsidRDefault="00A37447">
      <w:pPr>
        <w:keepNext/>
        <w:keepLines/>
        <w:rPr>
          <w:rFonts w:cs="Arial"/>
          <w:lang w:val="es-PE"/>
        </w:rPr>
      </w:pPr>
      <w:r w:rsidRPr="0036111A">
        <w:rPr>
          <w:rFonts w:cs="Arial"/>
          <w:lang w:val="es-PE"/>
        </w:rPr>
        <w:t>Petroperú administra la Concesión Sur Oeste (Arequipa, Moquegua y Tacna) desde diciembre de 2020, cuando el Estado declaró la caducidad de la concesión original tras la insolvencia del concesionario privado. El abastecimiento se realiza con gas natural licuado transportado en cisternas desde la planta de Melchorita.</w:t>
      </w:r>
    </w:p>
    <w:p w14:paraId="714D7B96" w14:textId="77777777" w:rsidR="00A37447" w:rsidRPr="003E0D14" w:rsidRDefault="00A37447">
      <w:pPr>
        <w:keepNext/>
        <w:rPr>
          <w:rFonts w:cs="Arial"/>
          <w:b/>
          <w:bCs/>
          <w:lang w:val="es-PE"/>
        </w:rPr>
      </w:pPr>
    </w:p>
    <w:p w14:paraId="448B2892" w14:textId="77777777" w:rsidR="00A37447" w:rsidRPr="003E0D14" w:rsidRDefault="00A37447">
      <w:pPr>
        <w:keepNext/>
        <w:keepLines/>
        <w:spacing w:before="160" w:after="20"/>
        <w:rPr>
          <w:lang w:val="es-PE"/>
        </w:rPr>
      </w:pPr>
      <w:r w:rsidRPr="003E0D14">
        <w:rPr>
          <w:b/>
          <w:color w:val="00838F"/>
          <w:sz w:val="20"/>
          <w:lang w:val="es-PE"/>
        </w:rPr>
        <w:t>PETROPERÚ: CLIENTES POR SEGMENTO</w:t>
      </w:r>
    </w:p>
    <w:p w14:paraId="29A04547" w14:textId="77777777" w:rsidR="00A37447" w:rsidRPr="0036111A" w:rsidRDefault="00A37447">
      <w:pPr>
        <w:keepNext/>
        <w:keepLines/>
        <w:spacing w:after="60"/>
        <w:rPr>
          <w:lang w:val="es-PE"/>
        </w:rPr>
      </w:pPr>
      <w:r w:rsidRPr="0036111A">
        <w:rPr>
          <w:i/>
          <w:sz w:val="17"/>
          <w:lang w:val="es-PE"/>
        </w:rPr>
        <w:t>Cantidad de conexiones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4C99FB20" w14:textId="77777777">
        <w:trPr>
          <w:cantSplit/>
          <w:tblHeader/>
        </w:trPr>
        <w:tc>
          <w:tcPr>
            <w:tcW w:w="1063" w:type="dxa"/>
            <w:shd w:val="clear" w:color="auto" w:fill="1F3864"/>
          </w:tcPr>
          <w:p w14:paraId="048E7F47" w14:textId="77777777" w:rsidR="00A37447" w:rsidRDefault="00A37447">
            <w:pPr>
              <w:keepNext/>
            </w:pPr>
            <w:r>
              <w:rPr>
                <w:b/>
                <w:color w:val="FFFFFF"/>
                <w:sz w:val="17"/>
              </w:rPr>
              <w:t>Sector</w:t>
            </w:r>
          </w:p>
        </w:tc>
        <w:tc>
          <w:tcPr>
            <w:tcW w:w="1063" w:type="dxa"/>
            <w:shd w:val="clear" w:color="auto" w:fill="1F3864"/>
            <w:noWrap/>
          </w:tcPr>
          <w:p w14:paraId="69B56908" w14:textId="77777777" w:rsidR="00A37447" w:rsidRDefault="00A37447">
            <w:pPr>
              <w:keepNext/>
              <w:jc w:val="right"/>
            </w:pPr>
            <w:r>
              <w:rPr>
                <w:b/>
                <w:color w:val="FFFFFF"/>
                <w:sz w:val="17"/>
              </w:rPr>
              <w:t>2021</w:t>
            </w:r>
          </w:p>
        </w:tc>
        <w:tc>
          <w:tcPr>
            <w:tcW w:w="1063" w:type="dxa"/>
            <w:shd w:val="clear" w:color="auto" w:fill="1F3864"/>
            <w:noWrap/>
          </w:tcPr>
          <w:p w14:paraId="6F8B587B" w14:textId="77777777" w:rsidR="00A37447" w:rsidRDefault="00A37447">
            <w:pPr>
              <w:keepNext/>
              <w:jc w:val="right"/>
            </w:pPr>
            <w:r>
              <w:rPr>
                <w:b/>
                <w:color w:val="FFFFFF"/>
                <w:sz w:val="17"/>
              </w:rPr>
              <w:t>2022</w:t>
            </w:r>
          </w:p>
        </w:tc>
        <w:tc>
          <w:tcPr>
            <w:tcW w:w="1063" w:type="dxa"/>
            <w:shd w:val="clear" w:color="auto" w:fill="1F3864"/>
            <w:noWrap/>
          </w:tcPr>
          <w:p w14:paraId="4FCE5B32" w14:textId="77777777" w:rsidR="00A37447" w:rsidRDefault="00A37447">
            <w:pPr>
              <w:keepNext/>
              <w:jc w:val="right"/>
            </w:pPr>
            <w:r>
              <w:rPr>
                <w:b/>
                <w:color w:val="FFFFFF"/>
                <w:sz w:val="17"/>
              </w:rPr>
              <w:t>2023</w:t>
            </w:r>
          </w:p>
        </w:tc>
        <w:tc>
          <w:tcPr>
            <w:tcW w:w="1063" w:type="dxa"/>
            <w:shd w:val="clear" w:color="auto" w:fill="1F3864"/>
            <w:noWrap/>
          </w:tcPr>
          <w:p w14:paraId="3A8D7863" w14:textId="77777777" w:rsidR="00A37447" w:rsidRDefault="00A37447">
            <w:pPr>
              <w:keepNext/>
              <w:jc w:val="right"/>
            </w:pPr>
            <w:r>
              <w:rPr>
                <w:b/>
                <w:color w:val="FFFFFF"/>
                <w:sz w:val="17"/>
              </w:rPr>
              <w:t>2024</w:t>
            </w:r>
          </w:p>
        </w:tc>
        <w:tc>
          <w:tcPr>
            <w:tcW w:w="1063" w:type="dxa"/>
            <w:shd w:val="clear" w:color="auto" w:fill="1F3864"/>
            <w:noWrap/>
          </w:tcPr>
          <w:p w14:paraId="60504508" w14:textId="77777777" w:rsidR="00A37447" w:rsidRDefault="00A37447">
            <w:pPr>
              <w:keepNext/>
              <w:jc w:val="right"/>
            </w:pPr>
            <w:r>
              <w:rPr>
                <w:b/>
                <w:color w:val="FFFFFF"/>
                <w:sz w:val="17"/>
              </w:rPr>
              <w:t>2025</w:t>
            </w:r>
          </w:p>
        </w:tc>
        <w:tc>
          <w:tcPr>
            <w:tcW w:w="1063" w:type="dxa"/>
            <w:shd w:val="clear" w:color="auto" w:fill="1F3864"/>
          </w:tcPr>
          <w:p w14:paraId="0275204C" w14:textId="77777777" w:rsidR="00A37447" w:rsidRDefault="00A37447">
            <w:pPr>
              <w:keepNext/>
              <w:jc w:val="right"/>
            </w:pPr>
            <w:r>
              <w:rPr>
                <w:b/>
                <w:color w:val="FFFFFF"/>
                <w:sz w:val="17"/>
              </w:rPr>
              <w:t>Var. % 2025 vs 2024</w:t>
            </w:r>
          </w:p>
        </w:tc>
        <w:tc>
          <w:tcPr>
            <w:tcW w:w="1063" w:type="dxa"/>
            <w:shd w:val="clear" w:color="auto" w:fill="1F3864"/>
          </w:tcPr>
          <w:p w14:paraId="6264B5A9" w14:textId="77777777" w:rsidR="00A37447" w:rsidRDefault="00A37447">
            <w:pPr>
              <w:keepNext/>
              <w:jc w:val="right"/>
            </w:pPr>
            <w:r>
              <w:rPr>
                <w:b/>
                <w:color w:val="FFFFFF"/>
                <w:sz w:val="17"/>
              </w:rPr>
              <w:t>TACC 2021-2025</w:t>
            </w:r>
          </w:p>
        </w:tc>
      </w:tr>
      <w:tr w:rsidR="00855697" w14:paraId="0F643DAE" w14:textId="77777777">
        <w:trPr>
          <w:cantSplit/>
        </w:trPr>
        <w:tc>
          <w:tcPr>
            <w:tcW w:w="1063" w:type="dxa"/>
            <w:noWrap/>
          </w:tcPr>
          <w:p w14:paraId="4A43C63A" w14:textId="77777777" w:rsidR="00A37447" w:rsidRDefault="00A37447">
            <w:pPr>
              <w:keepNext/>
              <w:spacing w:after="20"/>
            </w:pPr>
            <w:r>
              <w:rPr>
                <w:sz w:val="17"/>
              </w:rPr>
              <w:t>Residencial</w:t>
            </w:r>
          </w:p>
        </w:tc>
        <w:tc>
          <w:tcPr>
            <w:tcW w:w="1063" w:type="dxa"/>
            <w:noWrap/>
          </w:tcPr>
          <w:p w14:paraId="2518837A" w14:textId="77777777" w:rsidR="00A37447" w:rsidRDefault="00A37447">
            <w:pPr>
              <w:keepNext/>
              <w:spacing w:after="20"/>
              <w:jc w:val="right"/>
            </w:pPr>
            <w:r>
              <w:rPr>
                <w:sz w:val="16"/>
              </w:rPr>
              <w:t>11.742</w:t>
            </w:r>
          </w:p>
        </w:tc>
        <w:tc>
          <w:tcPr>
            <w:tcW w:w="1063" w:type="dxa"/>
            <w:noWrap/>
          </w:tcPr>
          <w:p w14:paraId="3878A215" w14:textId="77777777" w:rsidR="00A37447" w:rsidRDefault="00A37447">
            <w:pPr>
              <w:keepNext/>
              <w:spacing w:after="20"/>
              <w:jc w:val="right"/>
            </w:pPr>
            <w:r>
              <w:rPr>
                <w:sz w:val="16"/>
              </w:rPr>
              <w:t>11.560</w:t>
            </w:r>
          </w:p>
        </w:tc>
        <w:tc>
          <w:tcPr>
            <w:tcW w:w="1063" w:type="dxa"/>
            <w:noWrap/>
          </w:tcPr>
          <w:p w14:paraId="06EED367" w14:textId="77777777" w:rsidR="00A37447" w:rsidRDefault="00A37447">
            <w:pPr>
              <w:keepNext/>
              <w:spacing w:after="20"/>
              <w:jc w:val="right"/>
            </w:pPr>
            <w:r>
              <w:rPr>
                <w:sz w:val="16"/>
              </w:rPr>
              <w:t>11.254</w:t>
            </w:r>
          </w:p>
        </w:tc>
        <w:tc>
          <w:tcPr>
            <w:tcW w:w="1063" w:type="dxa"/>
            <w:noWrap/>
          </w:tcPr>
          <w:p w14:paraId="1330CCBE" w14:textId="77777777" w:rsidR="00A37447" w:rsidRDefault="00A37447">
            <w:pPr>
              <w:keepNext/>
              <w:spacing w:after="20"/>
              <w:jc w:val="right"/>
            </w:pPr>
            <w:r>
              <w:rPr>
                <w:sz w:val="16"/>
              </w:rPr>
              <w:t>12.041</w:t>
            </w:r>
          </w:p>
        </w:tc>
        <w:tc>
          <w:tcPr>
            <w:tcW w:w="1063" w:type="dxa"/>
            <w:noWrap/>
          </w:tcPr>
          <w:p w14:paraId="522B62F3" w14:textId="77777777" w:rsidR="00A37447" w:rsidRDefault="00A37447">
            <w:pPr>
              <w:keepNext/>
              <w:spacing w:after="20"/>
              <w:jc w:val="right"/>
            </w:pPr>
            <w:r>
              <w:rPr>
                <w:sz w:val="16"/>
              </w:rPr>
              <w:t>13.794</w:t>
            </w:r>
          </w:p>
        </w:tc>
        <w:tc>
          <w:tcPr>
            <w:tcW w:w="1063" w:type="dxa"/>
            <w:noWrap/>
          </w:tcPr>
          <w:p w14:paraId="657FDA85" w14:textId="77777777" w:rsidR="00A37447" w:rsidRDefault="00A37447">
            <w:pPr>
              <w:keepNext/>
              <w:spacing w:after="20"/>
              <w:jc w:val="right"/>
            </w:pPr>
            <w:r>
              <w:rPr>
                <w:sz w:val="16"/>
              </w:rPr>
              <w:t>14,6 %</w:t>
            </w:r>
          </w:p>
        </w:tc>
        <w:tc>
          <w:tcPr>
            <w:tcW w:w="1063" w:type="dxa"/>
            <w:noWrap/>
          </w:tcPr>
          <w:p w14:paraId="74EEFCC6" w14:textId="77777777" w:rsidR="00A37447" w:rsidRDefault="00A37447">
            <w:pPr>
              <w:keepNext/>
              <w:spacing w:after="20"/>
              <w:jc w:val="right"/>
            </w:pPr>
            <w:r>
              <w:rPr>
                <w:sz w:val="16"/>
              </w:rPr>
              <w:t>4,1 %</w:t>
            </w:r>
          </w:p>
        </w:tc>
      </w:tr>
      <w:tr w:rsidR="00855697" w14:paraId="3E3DEE42" w14:textId="77777777">
        <w:trPr>
          <w:cantSplit/>
        </w:trPr>
        <w:tc>
          <w:tcPr>
            <w:tcW w:w="1063" w:type="dxa"/>
            <w:noWrap/>
          </w:tcPr>
          <w:p w14:paraId="139EF888" w14:textId="77777777" w:rsidR="00A37447" w:rsidRDefault="00A37447">
            <w:pPr>
              <w:keepNext/>
              <w:spacing w:after="20"/>
            </w:pPr>
            <w:r>
              <w:rPr>
                <w:sz w:val="17"/>
              </w:rPr>
              <w:t>Comercial</w:t>
            </w:r>
          </w:p>
        </w:tc>
        <w:tc>
          <w:tcPr>
            <w:tcW w:w="1063" w:type="dxa"/>
            <w:noWrap/>
          </w:tcPr>
          <w:p w14:paraId="54B13559" w14:textId="77777777" w:rsidR="00A37447" w:rsidRDefault="00A37447">
            <w:pPr>
              <w:keepNext/>
              <w:spacing w:after="20"/>
              <w:jc w:val="right"/>
            </w:pPr>
            <w:r>
              <w:rPr>
                <w:sz w:val="16"/>
              </w:rPr>
              <w:t>27</w:t>
            </w:r>
          </w:p>
        </w:tc>
        <w:tc>
          <w:tcPr>
            <w:tcW w:w="1063" w:type="dxa"/>
            <w:noWrap/>
          </w:tcPr>
          <w:p w14:paraId="2D587D29" w14:textId="77777777" w:rsidR="00A37447" w:rsidRDefault="00A37447">
            <w:pPr>
              <w:keepNext/>
              <w:spacing w:after="20"/>
              <w:jc w:val="right"/>
            </w:pPr>
            <w:r>
              <w:rPr>
                <w:sz w:val="16"/>
              </w:rPr>
              <w:t>27</w:t>
            </w:r>
          </w:p>
        </w:tc>
        <w:tc>
          <w:tcPr>
            <w:tcW w:w="1063" w:type="dxa"/>
            <w:noWrap/>
          </w:tcPr>
          <w:p w14:paraId="36C661F7" w14:textId="77777777" w:rsidR="00A37447" w:rsidRDefault="00A37447">
            <w:pPr>
              <w:keepNext/>
              <w:spacing w:after="20"/>
              <w:jc w:val="right"/>
            </w:pPr>
            <w:r>
              <w:rPr>
                <w:sz w:val="16"/>
              </w:rPr>
              <w:t>27</w:t>
            </w:r>
          </w:p>
        </w:tc>
        <w:tc>
          <w:tcPr>
            <w:tcW w:w="1063" w:type="dxa"/>
            <w:noWrap/>
          </w:tcPr>
          <w:p w14:paraId="73A912ED" w14:textId="77777777" w:rsidR="00A37447" w:rsidRDefault="00A37447">
            <w:pPr>
              <w:keepNext/>
              <w:spacing w:after="20"/>
              <w:jc w:val="right"/>
            </w:pPr>
            <w:r>
              <w:rPr>
                <w:sz w:val="16"/>
              </w:rPr>
              <w:t>27</w:t>
            </w:r>
          </w:p>
        </w:tc>
        <w:tc>
          <w:tcPr>
            <w:tcW w:w="1063" w:type="dxa"/>
            <w:noWrap/>
          </w:tcPr>
          <w:p w14:paraId="3847F1E7" w14:textId="77777777" w:rsidR="00A37447" w:rsidRDefault="00A37447">
            <w:pPr>
              <w:keepNext/>
              <w:spacing w:after="20"/>
              <w:jc w:val="right"/>
            </w:pPr>
            <w:r>
              <w:rPr>
                <w:sz w:val="16"/>
              </w:rPr>
              <w:t>30</w:t>
            </w:r>
          </w:p>
        </w:tc>
        <w:tc>
          <w:tcPr>
            <w:tcW w:w="1063" w:type="dxa"/>
            <w:noWrap/>
          </w:tcPr>
          <w:p w14:paraId="3B1802A9" w14:textId="77777777" w:rsidR="00A37447" w:rsidRDefault="00A37447">
            <w:pPr>
              <w:keepNext/>
              <w:spacing w:after="20"/>
              <w:jc w:val="right"/>
            </w:pPr>
            <w:r>
              <w:rPr>
                <w:sz w:val="16"/>
              </w:rPr>
              <w:t>11,1 %</w:t>
            </w:r>
          </w:p>
        </w:tc>
        <w:tc>
          <w:tcPr>
            <w:tcW w:w="1063" w:type="dxa"/>
            <w:noWrap/>
          </w:tcPr>
          <w:p w14:paraId="232ADBC6" w14:textId="77777777" w:rsidR="00A37447" w:rsidRDefault="00A37447">
            <w:pPr>
              <w:keepNext/>
              <w:spacing w:after="20"/>
              <w:jc w:val="right"/>
            </w:pPr>
            <w:r>
              <w:rPr>
                <w:sz w:val="16"/>
              </w:rPr>
              <w:t>2,7 %</w:t>
            </w:r>
          </w:p>
        </w:tc>
      </w:tr>
      <w:tr w:rsidR="00855697" w14:paraId="55766A51" w14:textId="77777777">
        <w:trPr>
          <w:cantSplit/>
        </w:trPr>
        <w:tc>
          <w:tcPr>
            <w:tcW w:w="1063" w:type="dxa"/>
            <w:noWrap/>
          </w:tcPr>
          <w:p w14:paraId="68EA1DB6" w14:textId="77777777" w:rsidR="00A37447" w:rsidRDefault="00A37447">
            <w:pPr>
              <w:keepNext/>
              <w:spacing w:after="20"/>
            </w:pPr>
            <w:r>
              <w:rPr>
                <w:sz w:val="17"/>
              </w:rPr>
              <w:t>Industrial</w:t>
            </w:r>
          </w:p>
        </w:tc>
        <w:tc>
          <w:tcPr>
            <w:tcW w:w="1063" w:type="dxa"/>
            <w:noWrap/>
          </w:tcPr>
          <w:p w14:paraId="7882B0BF" w14:textId="77777777" w:rsidR="00A37447" w:rsidRDefault="00A37447">
            <w:pPr>
              <w:keepNext/>
              <w:spacing w:after="20"/>
              <w:jc w:val="right"/>
            </w:pPr>
            <w:r>
              <w:rPr>
                <w:sz w:val="16"/>
              </w:rPr>
              <w:t>19</w:t>
            </w:r>
          </w:p>
        </w:tc>
        <w:tc>
          <w:tcPr>
            <w:tcW w:w="1063" w:type="dxa"/>
            <w:noWrap/>
          </w:tcPr>
          <w:p w14:paraId="48C3833A" w14:textId="77777777" w:rsidR="00A37447" w:rsidRDefault="00A37447">
            <w:pPr>
              <w:keepNext/>
              <w:spacing w:after="20"/>
              <w:jc w:val="right"/>
            </w:pPr>
            <w:r>
              <w:rPr>
                <w:sz w:val="16"/>
              </w:rPr>
              <w:t>19</w:t>
            </w:r>
          </w:p>
        </w:tc>
        <w:tc>
          <w:tcPr>
            <w:tcW w:w="1063" w:type="dxa"/>
            <w:noWrap/>
          </w:tcPr>
          <w:p w14:paraId="0F8E1B05" w14:textId="77777777" w:rsidR="00A37447" w:rsidRDefault="00A37447">
            <w:pPr>
              <w:keepNext/>
              <w:spacing w:after="20"/>
              <w:jc w:val="right"/>
            </w:pPr>
            <w:r>
              <w:rPr>
                <w:sz w:val="16"/>
              </w:rPr>
              <w:t>18</w:t>
            </w:r>
          </w:p>
        </w:tc>
        <w:tc>
          <w:tcPr>
            <w:tcW w:w="1063" w:type="dxa"/>
            <w:noWrap/>
          </w:tcPr>
          <w:p w14:paraId="59AF4537" w14:textId="77777777" w:rsidR="00A37447" w:rsidRDefault="00A37447">
            <w:pPr>
              <w:keepNext/>
              <w:spacing w:after="20"/>
              <w:jc w:val="right"/>
            </w:pPr>
            <w:r>
              <w:rPr>
                <w:sz w:val="16"/>
              </w:rPr>
              <w:t>18</w:t>
            </w:r>
          </w:p>
        </w:tc>
        <w:tc>
          <w:tcPr>
            <w:tcW w:w="1063" w:type="dxa"/>
            <w:noWrap/>
          </w:tcPr>
          <w:p w14:paraId="33FF23E0" w14:textId="77777777" w:rsidR="00A37447" w:rsidRDefault="00A37447">
            <w:pPr>
              <w:keepNext/>
              <w:spacing w:after="20"/>
              <w:jc w:val="right"/>
            </w:pPr>
            <w:r>
              <w:rPr>
                <w:sz w:val="16"/>
              </w:rPr>
              <w:t>19</w:t>
            </w:r>
          </w:p>
        </w:tc>
        <w:tc>
          <w:tcPr>
            <w:tcW w:w="1063" w:type="dxa"/>
            <w:noWrap/>
          </w:tcPr>
          <w:p w14:paraId="5E101A7F" w14:textId="77777777" w:rsidR="00A37447" w:rsidRDefault="00A37447">
            <w:pPr>
              <w:keepNext/>
              <w:spacing w:after="20"/>
              <w:jc w:val="right"/>
            </w:pPr>
            <w:r>
              <w:rPr>
                <w:sz w:val="16"/>
              </w:rPr>
              <w:t>5,6 %</w:t>
            </w:r>
          </w:p>
        </w:tc>
        <w:tc>
          <w:tcPr>
            <w:tcW w:w="1063" w:type="dxa"/>
            <w:noWrap/>
          </w:tcPr>
          <w:p w14:paraId="2AD556F9" w14:textId="77777777" w:rsidR="00A37447" w:rsidRDefault="00A37447">
            <w:pPr>
              <w:keepNext/>
              <w:spacing w:after="20"/>
              <w:jc w:val="right"/>
            </w:pPr>
            <w:r>
              <w:rPr>
                <w:sz w:val="16"/>
              </w:rPr>
              <w:t>0,0 %</w:t>
            </w:r>
          </w:p>
        </w:tc>
      </w:tr>
      <w:tr w:rsidR="00855697" w14:paraId="1F51D27F" w14:textId="77777777">
        <w:trPr>
          <w:cantSplit/>
        </w:trPr>
        <w:tc>
          <w:tcPr>
            <w:tcW w:w="1063" w:type="dxa"/>
            <w:noWrap/>
          </w:tcPr>
          <w:p w14:paraId="3AD999CA" w14:textId="77777777" w:rsidR="00A37447" w:rsidRDefault="00A37447">
            <w:pPr>
              <w:keepNext/>
              <w:spacing w:after="20"/>
            </w:pPr>
            <w:r>
              <w:rPr>
                <w:b/>
                <w:sz w:val="17"/>
              </w:rPr>
              <w:t>Total</w:t>
            </w:r>
          </w:p>
        </w:tc>
        <w:tc>
          <w:tcPr>
            <w:tcW w:w="1063" w:type="dxa"/>
            <w:noWrap/>
          </w:tcPr>
          <w:p w14:paraId="48EDB798" w14:textId="77777777" w:rsidR="00A37447" w:rsidRDefault="00A37447">
            <w:pPr>
              <w:keepNext/>
              <w:spacing w:after="20"/>
              <w:jc w:val="right"/>
            </w:pPr>
            <w:r>
              <w:rPr>
                <w:sz w:val="16"/>
              </w:rPr>
              <w:t>11.788</w:t>
            </w:r>
          </w:p>
        </w:tc>
        <w:tc>
          <w:tcPr>
            <w:tcW w:w="1063" w:type="dxa"/>
            <w:noWrap/>
          </w:tcPr>
          <w:p w14:paraId="62A91A8F" w14:textId="77777777" w:rsidR="00A37447" w:rsidRDefault="00A37447">
            <w:pPr>
              <w:keepNext/>
              <w:spacing w:after="20"/>
              <w:jc w:val="right"/>
            </w:pPr>
            <w:r>
              <w:rPr>
                <w:sz w:val="16"/>
              </w:rPr>
              <w:t>11.606</w:t>
            </w:r>
          </w:p>
        </w:tc>
        <w:tc>
          <w:tcPr>
            <w:tcW w:w="1063" w:type="dxa"/>
            <w:noWrap/>
          </w:tcPr>
          <w:p w14:paraId="0C6CBFB6" w14:textId="77777777" w:rsidR="00A37447" w:rsidRDefault="00A37447">
            <w:pPr>
              <w:keepNext/>
              <w:spacing w:after="20"/>
              <w:jc w:val="right"/>
            </w:pPr>
            <w:r>
              <w:rPr>
                <w:sz w:val="16"/>
              </w:rPr>
              <w:t>11.299</w:t>
            </w:r>
          </w:p>
        </w:tc>
        <w:tc>
          <w:tcPr>
            <w:tcW w:w="1063" w:type="dxa"/>
            <w:noWrap/>
          </w:tcPr>
          <w:p w14:paraId="430361D7" w14:textId="77777777" w:rsidR="00A37447" w:rsidRDefault="00A37447">
            <w:pPr>
              <w:keepNext/>
              <w:spacing w:after="20"/>
              <w:jc w:val="right"/>
            </w:pPr>
            <w:r>
              <w:rPr>
                <w:sz w:val="16"/>
              </w:rPr>
              <w:t>12.086</w:t>
            </w:r>
          </w:p>
        </w:tc>
        <w:tc>
          <w:tcPr>
            <w:tcW w:w="1063" w:type="dxa"/>
            <w:noWrap/>
          </w:tcPr>
          <w:p w14:paraId="73CD3BD6" w14:textId="77777777" w:rsidR="00A37447" w:rsidRDefault="00A37447">
            <w:pPr>
              <w:keepNext/>
              <w:spacing w:after="20"/>
              <w:jc w:val="right"/>
            </w:pPr>
            <w:r>
              <w:rPr>
                <w:sz w:val="16"/>
              </w:rPr>
              <w:t>13.843</w:t>
            </w:r>
          </w:p>
        </w:tc>
        <w:tc>
          <w:tcPr>
            <w:tcW w:w="1063" w:type="dxa"/>
            <w:noWrap/>
          </w:tcPr>
          <w:p w14:paraId="237D6C91" w14:textId="77777777" w:rsidR="00A37447" w:rsidRDefault="00A37447">
            <w:pPr>
              <w:keepNext/>
              <w:spacing w:after="20"/>
              <w:jc w:val="right"/>
            </w:pPr>
            <w:r>
              <w:rPr>
                <w:sz w:val="16"/>
              </w:rPr>
              <w:t>14,5 %</w:t>
            </w:r>
          </w:p>
        </w:tc>
        <w:tc>
          <w:tcPr>
            <w:tcW w:w="1063" w:type="dxa"/>
            <w:noWrap/>
          </w:tcPr>
          <w:p w14:paraId="1DBAB8D7" w14:textId="77777777" w:rsidR="00A37447" w:rsidRDefault="00A37447">
            <w:pPr>
              <w:keepNext/>
              <w:spacing w:after="20"/>
              <w:jc w:val="right"/>
            </w:pPr>
            <w:r>
              <w:rPr>
                <w:sz w:val="16"/>
              </w:rPr>
              <w:t>4,1 %</w:t>
            </w:r>
          </w:p>
        </w:tc>
      </w:tr>
    </w:tbl>
    <w:p w14:paraId="21050311" w14:textId="77777777" w:rsidR="00A37447" w:rsidRDefault="00A37447">
      <w:pPr>
        <w:keepLines/>
        <w:spacing w:before="40"/>
        <w:jc w:val="right"/>
      </w:pPr>
      <w:r>
        <w:rPr>
          <w:b/>
          <w:color w:val="404040"/>
          <w:sz w:val="15"/>
        </w:rPr>
        <w:t>FUENTE: Petroperú</w:t>
      </w:r>
    </w:p>
    <w:p w14:paraId="58536E1A" w14:textId="77777777" w:rsidR="00A37447" w:rsidRPr="0036111A" w:rsidRDefault="00A37447">
      <w:pPr>
        <w:keepLines/>
        <w:rPr>
          <w:lang w:val="es-PE"/>
        </w:rPr>
      </w:pPr>
      <w:r w:rsidRPr="0036111A">
        <w:rPr>
          <w:lang w:val="es-PE"/>
        </w:rPr>
        <w:t>Al cierre de 2025, Petroperú reportó 13.843 conexiones en la Concesión Sur Oeste, un incremento del 15 % respecto a 2024, superando por primera vez el nivel alcanzado en 2020 cuando tomó la operación. Este avance se explica por la puesta en operación de los 150 km de redes construidas con financiamiento del Fondo de Inclusión Social Energético (FISE) durante 2024. Con la concesión vigente hasta diciembre de 2026, la situación de la Concesión Sur Oeste es incierta: depende de que ProInversión concrete la nueva licitación y de que alguno de los proyectos de transporte de gas permita mejorar las tarifas y la rentabilidad en la concesión.</w:t>
      </w:r>
    </w:p>
    <w:p w14:paraId="73ED58C5" w14:textId="6056AD0B" w:rsidR="00A37447" w:rsidRDefault="00A37447">
      <w:pPr>
        <w:spacing w:before="160"/>
        <w:jc w:val="center"/>
      </w:pPr>
      <w:r>
        <w:rPr>
          <w:noProof/>
        </w:rPr>
        <w:drawing>
          <wp:inline distT="0" distB="0" distL="0" distR="0" wp14:anchorId="70B7E757" wp14:editId="5A32E8BE">
            <wp:extent cx="4320000" cy="2736818"/>
            <wp:effectExtent l="0" t="0" r="0" b="0"/>
            <wp:docPr id="2110891814" name="Imagen 211089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57.png"/>
                    <pic:cNvPicPr/>
                  </pic:nvPicPr>
                  <pic:blipFill>
                    <a:blip r:embed="rId73"/>
                    <a:stretch>
                      <a:fillRect/>
                    </a:stretch>
                  </pic:blipFill>
                  <pic:spPr>
                    <a:xfrm>
                      <a:off x="0" y="0"/>
                      <a:ext cx="4320000" cy="2736818"/>
                    </a:xfrm>
                    <a:prstGeom prst="rect">
                      <a:avLst/>
                    </a:prstGeom>
                  </pic:spPr>
                </pic:pic>
              </a:graphicData>
            </a:graphic>
          </wp:inline>
        </w:drawing>
      </w:r>
    </w:p>
    <w:p w14:paraId="2F42909C" w14:textId="326AAF28" w:rsidR="00A37447" w:rsidRDefault="00A37447">
      <w:pPr>
        <w:keepLines/>
        <w:rPr>
          <w:lang w:val="es-PE"/>
        </w:rPr>
      </w:pPr>
      <w:r w:rsidRPr="0036111A">
        <w:rPr>
          <w:lang w:val="es-PE"/>
        </w:rPr>
        <w:lastRenderedPageBreak/>
        <w:t>En 2025, las ventas de Petroperú crecieron 9 %, impulsadas tanto por el incremento de clientes residenciales como por una mayor demanda del segmento industrial. Este último representó cerca del 91 % de las ventas totales.</w:t>
      </w:r>
    </w:p>
    <w:p w14:paraId="27B27F46" w14:textId="77777777" w:rsidR="00A37447" w:rsidRPr="0036111A" w:rsidRDefault="00A37447">
      <w:pPr>
        <w:keepNext/>
        <w:keepLines/>
        <w:spacing w:before="160" w:after="20"/>
        <w:rPr>
          <w:lang w:val="es-PE"/>
        </w:rPr>
      </w:pPr>
      <w:r w:rsidRPr="0036111A">
        <w:rPr>
          <w:b/>
          <w:color w:val="00838F"/>
          <w:sz w:val="20"/>
          <w:lang w:val="es-PE"/>
        </w:rPr>
        <w:t>PETROPERÚ: VENTAS POR SEGMENTO</w:t>
      </w:r>
    </w:p>
    <w:p w14:paraId="05C968AA" w14:textId="77777777" w:rsidR="00A37447" w:rsidRDefault="00A37447">
      <w:pPr>
        <w:keepNext/>
        <w:keepLines/>
        <w:spacing w:after="60"/>
      </w:pPr>
      <w:r>
        <w:rPr>
          <w:i/>
          <w:sz w:val="17"/>
        </w:rPr>
        <w:t>Millones de pies cúbicos diarios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51708F8D" w14:textId="77777777">
        <w:trPr>
          <w:cantSplit/>
          <w:tblHeader/>
        </w:trPr>
        <w:tc>
          <w:tcPr>
            <w:tcW w:w="1063" w:type="dxa"/>
            <w:shd w:val="clear" w:color="auto" w:fill="1F3864"/>
          </w:tcPr>
          <w:p w14:paraId="1AC0F922" w14:textId="77777777" w:rsidR="00A37447" w:rsidRDefault="00A37447">
            <w:pPr>
              <w:keepNext/>
            </w:pPr>
            <w:r>
              <w:rPr>
                <w:b/>
                <w:color w:val="FFFFFF"/>
                <w:sz w:val="17"/>
              </w:rPr>
              <w:t>Sector</w:t>
            </w:r>
          </w:p>
        </w:tc>
        <w:tc>
          <w:tcPr>
            <w:tcW w:w="1063" w:type="dxa"/>
            <w:shd w:val="clear" w:color="auto" w:fill="1F3864"/>
            <w:noWrap/>
          </w:tcPr>
          <w:p w14:paraId="782249BE" w14:textId="77777777" w:rsidR="00A37447" w:rsidRDefault="00A37447">
            <w:pPr>
              <w:keepNext/>
              <w:jc w:val="right"/>
            </w:pPr>
            <w:r>
              <w:rPr>
                <w:b/>
                <w:color w:val="FFFFFF"/>
                <w:sz w:val="17"/>
              </w:rPr>
              <w:t>2021</w:t>
            </w:r>
          </w:p>
        </w:tc>
        <w:tc>
          <w:tcPr>
            <w:tcW w:w="1063" w:type="dxa"/>
            <w:shd w:val="clear" w:color="auto" w:fill="1F3864"/>
            <w:noWrap/>
          </w:tcPr>
          <w:p w14:paraId="5673E74C" w14:textId="77777777" w:rsidR="00A37447" w:rsidRDefault="00A37447">
            <w:pPr>
              <w:keepNext/>
              <w:jc w:val="right"/>
            </w:pPr>
            <w:r>
              <w:rPr>
                <w:b/>
                <w:color w:val="FFFFFF"/>
                <w:sz w:val="17"/>
              </w:rPr>
              <w:t>2022</w:t>
            </w:r>
          </w:p>
        </w:tc>
        <w:tc>
          <w:tcPr>
            <w:tcW w:w="1063" w:type="dxa"/>
            <w:shd w:val="clear" w:color="auto" w:fill="1F3864"/>
            <w:noWrap/>
          </w:tcPr>
          <w:p w14:paraId="377D3064" w14:textId="77777777" w:rsidR="00A37447" w:rsidRDefault="00A37447">
            <w:pPr>
              <w:keepNext/>
              <w:jc w:val="right"/>
            </w:pPr>
            <w:r>
              <w:rPr>
                <w:b/>
                <w:color w:val="FFFFFF"/>
                <w:sz w:val="17"/>
              </w:rPr>
              <w:t>2023</w:t>
            </w:r>
          </w:p>
        </w:tc>
        <w:tc>
          <w:tcPr>
            <w:tcW w:w="1063" w:type="dxa"/>
            <w:shd w:val="clear" w:color="auto" w:fill="1F3864"/>
            <w:noWrap/>
          </w:tcPr>
          <w:p w14:paraId="58B647BD" w14:textId="77777777" w:rsidR="00A37447" w:rsidRDefault="00A37447">
            <w:pPr>
              <w:keepNext/>
              <w:jc w:val="right"/>
            </w:pPr>
            <w:r>
              <w:rPr>
                <w:b/>
                <w:color w:val="FFFFFF"/>
                <w:sz w:val="17"/>
              </w:rPr>
              <w:t>2024</w:t>
            </w:r>
          </w:p>
        </w:tc>
        <w:tc>
          <w:tcPr>
            <w:tcW w:w="1063" w:type="dxa"/>
            <w:shd w:val="clear" w:color="auto" w:fill="1F3864"/>
            <w:noWrap/>
          </w:tcPr>
          <w:p w14:paraId="63EB0E93" w14:textId="77777777" w:rsidR="00A37447" w:rsidRDefault="00A37447">
            <w:pPr>
              <w:keepNext/>
              <w:jc w:val="right"/>
            </w:pPr>
            <w:r>
              <w:rPr>
                <w:b/>
                <w:color w:val="FFFFFF"/>
                <w:sz w:val="17"/>
              </w:rPr>
              <w:t>2025</w:t>
            </w:r>
          </w:p>
        </w:tc>
        <w:tc>
          <w:tcPr>
            <w:tcW w:w="1063" w:type="dxa"/>
            <w:shd w:val="clear" w:color="auto" w:fill="1F3864"/>
          </w:tcPr>
          <w:p w14:paraId="4B9B1357" w14:textId="77777777" w:rsidR="00A37447" w:rsidRDefault="00A37447">
            <w:pPr>
              <w:keepNext/>
              <w:jc w:val="right"/>
            </w:pPr>
            <w:r>
              <w:rPr>
                <w:b/>
                <w:color w:val="FFFFFF"/>
                <w:sz w:val="17"/>
              </w:rPr>
              <w:t>Var. % 2025 vs 2024</w:t>
            </w:r>
          </w:p>
        </w:tc>
        <w:tc>
          <w:tcPr>
            <w:tcW w:w="1063" w:type="dxa"/>
            <w:shd w:val="clear" w:color="auto" w:fill="1F3864"/>
          </w:tcPr>
          <w:p w14:paraId="1741C6B3" w14:textId="77777777" w:rsidR="00A37447" w:rsidRDefault="00A37447">
            <w:pPr>
              <w:keepNext/>
              <w:jc w:val="right"/>
            </w:pPr>
            <w:r>
              <w:rPr>
                <w:b/>
                <w:color w:val="FFFFFF"/>
                <w:sz w:val="17"/>
              </w:rPr>
              <w:t>TACC 2021-2025</w:t>
            </w:r>
          </w:p>
        </w:tc>
      </w:tr>
      <w:tr w:rsidR="00855697" w14:paraId="66910977" w14:textId="77777777">
        <w:trPr>
          <w:cantSplit/>
        </w:trPr>
        <w:tc>
          <w:tcPr>
            <w:tcW w:w="1063" w:type="dxa"/>
          </w:tcPr>
          <w:p w14:paraId="663FFBD9" w14:textId="77777777" w:rsidR="00A37447" w:rsidRDefault="00A37447">
            <w:pPr>
              <w:keepNext/>
              <w:spacing w:after="20"/>
            </w:pPr>
            <w:r>
              <w:rPr>
                <w:sz w:val="17"/>
              </w:rPr>
              <w:t>Residencial y comercial</w:t>
            </w:r>
          </w:p>
        </w:tc>
        <w:tc>
          <w:tcPr>
            <w:tcW w:w="1063" w:type="dxa"/>
            <w:noWrap/>
          </w:tcPr>
          <w:p w14:paraId="3FAD95B0" w14:textId="77777777" w:rsidR="00A37447" w:rsidRDefault="00A37447">
            <w:pPr>
              <w:keepNext/>
              <w:spacing w:after="20"/>
              <w:jc w:val="right"/>
            </w:pPr>
            <w:r>
              <w:rPr>
                <w:sz w:val="16"/>
              </w:rPr>
              <w:t>0,2</w:t>
            </w:r>
          </w:p>
        </w:tc>
        <w:tc>
          <w:tcPr>
            <w:tcW w:w="1063" w:type="dxa"/>
            <w:noWrap/>
          </w:tcPr>
          <w:p w14:paraId="01546353" w14:textId="77777777" w:rsidR="00A37447" w:rsidRDefault="00A37447">
            <w:pPr>
              <w:keepNext/>
              <w:spacing w:after="20"/>
              <w:jc w:val="right"/>
            </w:pPr>
            <w:r>
              <w:rPr>
                <w:sz w:val="16"/>
              </w:rPr>
              <w:t>0,3</w:t>
            </w:r>
          </w:p>
        </w:tc>
        <w:tc>
          <w:tcPr>
            <w:tcW w:w="1063" w:type="dxa"/>
            <w:noWrap/>
          </w:tcPr>
          <w:p w14:paraId="1D730739" w14:textId="77777777" w:rsidR="00A37447" w:rsidRDefault="00A37447">
            <w:pPr>
              <w:keepNext/>
              <w:spacing w:after="20"/>
              <w:jc w:val="right"/>
            </w:pPr>
            <w:r>
              <w:rPr>
                <w:sz w:val="16"/>
              </w:rPr>
              <w:t>0,3</w:t>
            </w:r>
          </w:p>
        </w:tc>
        <w:tc>
          <w:tcPr>
            <w:tcW w:w="1063" w:type="dxa"/>
            <w:noWrap/>
          </w:tcPr>
          <w:p w14:paraId="60E8E5A8" w14:textId="77777777" w:rsidR="00A37447" w:rsidRDefault="00A37447">
            <w:pPr>
              <w:keepNext/>
              <w:spacing w:after="20"/>
              <w:jc w:val="right"/>
            </w:pPr>
            <w:r>
              <w:rPr>
                <w:sz w:val="16"/>
              </w:rPr>
              <w:t>0,3</w:t>
            </w:r>
          </w:p>
        </w:tc>
        <w:tc>
          <w:tcPr>
            <w:tcW w:w="1063" w:type="dxa"/>
            <w:noWrap/>
          </w:tcPr>
          <w:p w14:paraId="61BF3C1A" w14:textId="77777777" w:rsidR="00A37447" w:rsidRDefault="00A37447">
            <w:pPr>
              <w:keepNext/>
              <w:spacing w:after="20"/>
              <w:jc w:val="right"/>
            </w:pPr>
            <w:r>
              <w:rPr>
                <w:sz w:val="16"/>
              </w:rPr>
              <w:t>0,3</w:t>
            </w:r>
          </w:p>
        </w:tc>
        <w:tc>
          <w:tcPr>
            <w:tcW w:w="1063" w:type="dxa"/>
            <w:noWrap/>
          </w:tcPr>
          <w:p w14:paraId="0071A058" w14:textId="77777777" w:rsidR="00A37447" w:rsidRDefault="00A37447">
            <w:pPr>
              <w:keepNext/>
              <w:spacing w:after="20"/>
              <w:jc w:val="right"/>
            </w:pPr>
            <w:r>
              <w:rPr>
                <w:sz w:val="16"/>
              </w:rPr>
              <w:t>21,3 %</w:t>
            </w:r>
          </w:p>
        </w:tc>
        <w:tc>
          <w:tcPr>
            <w:tcW w:w="1063" w:type="dxa"/>
            <w:noWrap/>
          </w:tcPr>
          <w:p w14:paraId="2220FCDA" w14:textId="77777777" w:rsidR="00A37447" w:rsidRDefault="00A37447">
            <w:pPr>
              <w:keepNext/>
              <w:spacing w:after="20"/>
              <w:jc w:val="right"/>
            </w:pPr>
            <w:r>
              <w:rPr>
                <w:sz w:val="16"/>
              </w:rPr>
              <w:t>12,2 %</w:t>
            </w:r>
          </w:p>
        </w:tc>
      </w:tr>
      <w:tr w:rsidR="00855697" w14:paraId="50FC8117" w14:textId="77777777">
        <w:trPr>
          <w:cantSplit/>
        </w:trPr>
        <w:tc>
          <w:tcPr>
            <w:tcW w:w="1063" w:type="dxa"/>
            <w:noWrap/>
          </w:tcPr>
          <w:p w14:paraId="65251081" w14:textId="77777777" w:rsidR="00A37447" w:rsidRDefault="00A37447">
            <w:pPr>
              <w:keepNext/>
              <w:spacing w:after="20"/>
            </w:pPr>
            <w:r>
              <w:rPr>
                <w:sz w:val="17"/>
              </w:rPr>
              <w:t>Industrial</w:t>
            </w:r>
          </w:p>
        </w:tc>
        <w:tc>
          <w:tcPr>
            <w:tcW w:w="1063" w:type="dxa"/>
            <w:noWrap/>
          </w:tcPr>
          <w:p w14:paraId="59F7072B" w14:textId="77777777" w:rsidR="00A37447" w:rsidRDefault="00A37447">
            <w:pPr>
              <w:keepNext/>
              <w:spacing w:after="20"/>
              <w:jc w:val="right"/>
            </w:pPr>
            <w:r>
              <w:rPr>
                <w:sz w:val="16"/>
              </w:rPr>
              <w:t>3,2</w:t>
            </w:r>
          </w:p>
        </w:tc>
        <w:tc>
          <w:tcPr>
            <w:tcW w:w="1063" w:type="dxa"/>
            <w:noWrap/>
          </w:tcPr>
          <w:p w14:paraId="74DAE272" w14:textId="77777777" w:rsidR="00A37447" w:rsidRDefault="00A37447">
            <w:pPr>
              <w:keepNext/>
              <w:spacing w:after="20"/>
              <w:jc w:val="right"/>
            </w:pPr>
            <w:r>
              <w:rPr>
                <w:sz w:val="16"/>
              </w:rPr>
              <w:t>3,5</w:t>
            </w:r>
          </w:p>
        </w:tc>
        <w:tc>
          <w:tcPr>
            <w:tcW w:w="1063" w:type="dxa"/>
            <w:noWrap/>
          </w:tcPr>
          <w:p w14:paraId="0C2E29DA" w14:textId="77777777" w:rsidR="00A37447" w:rsidRDefault="00A37447">
            <w:pPr>
              <w:keepNext/>
              <w:spacing w:after="20"/>
              <w:jc w:val="right"/>
            </w:pPr>
            <w:r>
              <w:rPr>
                <w:sz w:val="16"/>
              </w:rPr>
              <w:t>3,2</w:t>
            </w:r>
          </w:p>
        </w:tc>
        <w:tc>
          <w:tcPr>
            <w:tcW w:w="1063" w:type="dxa"/>
            <w:noWrap/>
          </w:tcPr>
          <w:p w14:paraId="62083C2D" w14:textId="77777777" w:rsidR="00A37447" w:rsidRDefault="00A37447">
            <w:pPr>
              <w:keepNext/>
              <w:spacing w:after="20"/>
              <w:jc w:val="right"/>
            </w:pPr>
            <w:r>
              <w:rPr>
                <w:sz w:val="16"/>
              </w:rPr>
              <w:t>3,1</w:t>
            </w:r>
          </w:p>
        </w:tc>
        <w:tc>
          <w:tcPr>
            <w:tcW w:w="1063" w:type="dxa"/>
            <w:noWrap/>
          </w:tcPr>
          <w:p w14:paraId="70F97C16" w14:textId="77777777" w:rsidR="00A37447" w:rsidRDefault="00A37447">
            <w:pPr>
              <w:keepNext/>
              <w:spacing w:after="20"/>
              <w:jc w:val="right"/>
            </w:pPr>
            <w:r>
              <w:rPr>
                <w:sz w:val="16"/>
              </w:rPr>
              <w:t>3,3</w:t>
            </w:r>
          </w:p>
        </w:tc>
        <w:tc>
          <w:tcPr>
            <w:tcW w:w="1063" w:type="dxa"/>
            <w:noWrap/>
          </w:tcPr>
          <w:p w14:paraId="2E1A4DDB" w14:textId="77777777" w:rsidR="00A37447" w:rsidRDefault="00A37447">
            <w:pPr>
              <w:keepNext/>
              <w:spacing w:after="20"/>
              <w:jc w:val="right"/>
            </w:pPr>
            <w:r>
              <w:rPr>
                <w:sz w:val="16"/>
              </w:rPr>
              <w:t>8,3 %</w:t>
            </w:r>
          </w:p>
        </w:tc>
        <w:tc>
          <w:tcPr>
            <w:tcW w:w="1063" w:type="dxa"/>
            <w:noWrap/>
          </w:tcPr>
          <w:p w14:paraId="422999C2" w14:textId="77777777" w:rsidR="00A37447" w:rsidRDefault="00A37447">
            <w:pPr>
              <w:keepNext/>
              <w:spacing w:after="20"/>
              <w:jc w:val="right"/>
            </w:pPr>
            <w:r>
              <w:rPr>
                <w:sz w:val="16"/>
              </w:rPr>
              <w:t>0,8 %</w:t>
            </w:r>
          </w:p>
        </w:tc>
      </w:tr>
      <w:tr w:rsidR="00855697" w14:paraId="217B6814" w14:textId="77777777">
        <w:trPr>
          <w:cantSplit/>
        </w:trPr>
        <w:tc>
          <w:tcPr>
            <w:tcW w:w="1063" w:type="dxa"/>
            <w:noWrap/>
          </w:tcPr>
          <w:p w14:paraId="01F1327D" w14:textId="77777777" w:rsidR="00A37447" w:rsidRDefault="00A37447">
            <w:pPr>
              <w:keepNext/>
              <w:spacing w:after="20"/>
            </w:pPr>
            <w:r>
              <w:rPr>
                <w:b/>
                <w:sz w:val="17"/>
              </w:rPr>
              <w:t>Total</w:t>
            </w:r>
          </w:p>
        </w:tc>
        <w:tc>
          <w:tcPr>
            <w:tcW w:w="1063" w:type="dxa"/>
            <w:noWrap/>
          </w:tcPr>
          <w:p w14:paraId="1D2AA4CD" w14:textId="77777777" w:rsidR="00A37447" w:rsidRDefault="00A37447">
            <w:pPr>
              <w:keepNext/>
              <w:spacing w:after="20"/>
              <w:jc w:val="right"/>
            </w:pPr>
            <w:r>
              <w:rPr>
                <w:sz w:val="16"/>
              </w:rPr>
              <w:t>3,4</w:t>
            </w:r>
          </w:p>
        </w:tc>
        <w:tc>
          <w:tcPr>
            <w:tcW w:w="1063" w:type="dxa"/>
            <w:noWrap/>
          </w:tcPr>
          <w:p w14:paraId="08011994" w14:textId="77777777" w:rsidR="00A37447" w:rsidRDefault="00A37447">
            <w:pPr>
              <w:keepNext/>
              <w:spacing w:after="20"/>
              <w:jc w:val="right"/>
            </w:pPr>
            <w:r>
              <w:rPr>
                <w:sz w:val="16"/>
              </w:rPr>
              <w:t>3,8</w:t>
            </w:r>
          </w:p>
        </w:tc>
        <w:tc>
          <w:tcPr>
            <w:tcW w:w="1063" w:type="dxa"/>
            <w:noWrap/>
          </w:tcPr>
          <w:p w14:paraId="2D3F09B9" w14:textId="77777777" w:rsidR="00A37447" w:rsidRDefault="00A37447">
            <w:pPr>
              <w:keepNext/>
              <w:spacing w:after="20"/>
              <w:jc w:val="right"/>
            </w:pPr>
            <w:r>
              <w:rPr>
                <w:sz w:val="16"/>
              </w:rPr>
              <w:t>3,5</w:t>
            </w:r>
          </w:p>
        </w:tc>
        <w:tc>
          <w:tcPr>
            <w:tcW w:w="1063" w:type="dxa"/>
            <w:noWrap/>
          </w:tcPr>
          <w:p w14:paraId="6664D892" w14:textId="77777777" w:rsidR="00A37447" w:rsidRDefault="00A37447">
            <w:pPr>
              <w:keepNext/>
              <w:spacing w:after="20"/>
              <w:jc w:val="right"/>
            </w:pPr>
            <w:r>
              <w:rPr>
                <w:sz w:val="16"/>
              </w:rPr>
              <w:t>3,3</w:t>
            </w:r>
          </w:p>
        </w:tc>
        <w:tc>
          <w:tcPr>
            <w:tcW w:w="1063" w:type="dxa"/>
            <w:noWrap/>
          </w:tcPr>
          <w:p w14:paraId="45D53520" w14:textId="77777777" w:rsidR="00A37447" w:rsidRDefault="00A37447">
            <w:pPr>
              <w:keepNext/>
              <w:spacing w:after="20"/>
              <w:jc w:val="right"/>
            </w:pPr>
            <w:r>
              <w:rPr>
                <w:sz w:val="16"/>
              </w:rPr>
              <w:t>3,6</w:t>
            </w:r>
          </w:p>
        </w:tc>
        <w:tc>
          <w:tcPr>
            <w:tcW w:w="1063" w:type="dxa"/>
            <w:noWrap/>
          </w:tcPr>
          <w:p w14:paraId="1F63EF88" w14:textId="77777777" w:rsidR="00A37447" w:rsidRDefault="00A37447">
            <w:pPr>
              <w:keepNext/>
              <w:spacing w:after="20"/>
              <w:jc w:val="right"/>
            </w:pPr>
            <w:r>
              <w:rPr>
                <w:sz w:val="16"/>
              </w:rPr>
              <w:t>9,3 %</w:t>
            </w:r>
          </w:p>
        </w:tc>
        <w:tc>
          <w:tcPr>
            <w:tcW w:w="1063" w:type="dxa"/>
            <w:noWrap/>
          </w:tcPr>
          <w:p w14:paraId="57E90541" w14:textId="77777777" w:rsidR="00A37447" w:rsidRDefault="00A37447">
            <w:pPr>
              <w:keepNext/>
              <w:spacing w:after="20"/>
              <w:jc w:val="right"/>
            </w:pPr>
            <w:r>
              <w:rPr>
                <w:sz w:val="16"/>
              </w:rPr>
              <w:t>1,6 %</w:t>
            </w:r>
          </w:p>
        </w:tc>
      </w:tr>
    </w:tbl>
    <w:p w14:paraId="16549C76" w14:textId="77777777" w:rsidR="00A37447" w:rsidRDefault="00A37447">
      <w:pPr>
        <w:keepLines/>
        <w:spacing w:before="40"/>
        <w:jc w:val="right"/>
      </w:pPr>
      <w:r>
        <w:rPr>
          <w:b/>
          <w:color w:val="404040"/>
          <w:sz w:val="15"/>
        </w:rPr>
        <w:t>FUENTE: Petroperú</w:t>
      </w:r>
    </w:p>
    <w:p w14:paraId="5D40EAF0" w14:textId="77777777" w:rsidR="00A37447" w:rsidRPr="00685307" w:rsidRDefault="00A37447">
      <w:pPr>
        <w:pStyle w:val="Ttulo3"/>
        <w:pageBreakBefore/>
        <w:spacing w:before="80" w:after="80"/>
        <w:rPr>
          <w:rFonts w:eastAsia="Calibri"/>
          <w:lang w:val="es-ES"/>
        </w:rPr>
      </w:pPr>
      <w:bookmarkStart w:id="21" w:name="_Toc235083024"/>
      <w:r>
        <w:lastRenderedPageBreak/>
        <w:t>3.2.7. Gas natural vehicular (GNV)</w:t>
      </w:r>
      <w:bookmarkEnd w:id="21"/>
    </w:p>
    <w:p w14:paraId="57B9D870" w14:textId="77777777" w:rsidR="00A37447" w:rsidRPr="0036111A" w:rsidRDefault="00A37447">
      <w:pPr>
        <w:pStyle w:val="Ttulo4"/>
        <w:rPr>
          <w:lang w:val="es-PE"/>
        </w:rPr>
      </w:pPr>
      <w:r w:rsidRPr="0036111A">
        <w:rPr>
          <w:lang w:val="es-PE"/>
        </w:rPr>
        <w:t>3.2.7.1. GNV comprimido (GNV-C)</w:t>
      </w:r>
    </w:p>
    <w:p w14:paraId="1E81EA08" w14:textId="1BF05C16" w:rsidR="00A37447" w:rsidRDefault="00A37447">
      <w:pPr>
        <w:spacing w:before="160"/>
        <w:jc w:val="center"/>
      </w:pPr>
      <w:r>
        <w:rPr>
          <w:noProof/>
        </w:rPr>
        <w:drawing>
          <wp:inline distT="0" distB="0" distL="0" distR="0" wp14:anchorId="6E17AFD7" wp14:editId="1DC1BDC0">
            <wp:extent cx="5400000" cy="3767532"/>
            <wp:effectExtent l="0" t="0" r="0" b="0"/>
            <wp:docPr id="90056" name="Picture 9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44.png"/>
                    <pic:cNvPicPr/>
                  </pic:nvPicPr>
                  <pic:blipFill>
                    <a:blip r:embed="rId74"/>
                    <a:stretch>
                      <a:fillRect/>
                    </a:stretch>
                  </pic:blipFill>
                  <pic:spPr>
                    <a:xfrm>
                      <a:off x="0" y="0"/>
                      <a:ext cx="5400000" cy="3767532"/>
                    </a:xfrm>
                    <a:prstGeom prst="rect">
                      <a:avLst/>
                    </a:prstGeom>
                  </pic:spPr>
                </pic:pic>
              </a:graphicData>
            </a:graphic>
          </wp:inline>
        </w:drawing>
      </w:r>
    </w:p>
    <w:p w14:paraId="78FBFD82" w14:textId="77777777" w:rsidR="00A37447" w:rsidRDefault="00A37447"/>
    <w:p w14:paraId="763964CD" w14:textId="77777777" w:rsidR="00A37447" w:rsidRPr="0036111A" w:rsidRDefault="00A37447">
      <w:pPr>
        <w:keepLines/>
        <w:rPr>
          <w:lang w:val="es-PE"/>
        </w:rPr>
      </w:pPr>
      <w:r w:rsidRPr="0036111A">
        <w:rPr>
          <w:highlight w:val="yellow"/>
          <w:lang w:val="es-PE"/>
        </w:rPr>
        <w:t>Al cierre de 2025, el número de vehículos a GNV en circulación alcanzó 528 mil unidades, un incremento de 7 % respecto a las 493 mil registradas al cierre de 2024. Se acumulan así veinte años de crecimiento ininterrumpido, con Lima y Callao concentrando la mayor parte de la flota activa, en su mayoría del segmento de vehículos livianos.</w:t>
      </w:r>
    </w:p>
    <w:p w14:paraId="0FB12A6A" w14:textId="7C39DA9D" w:rsidR="00A37447" w:rsidRPr="0036111A" w:rsidRDefault="00000000">
      <w:pPr>
        <w:keepLines/>
        <w:rPr>
          <w:lang w:val="es-PE"/>
        </w:rPr>
      </w:pPr>
      <w:r w:rsidRPr="004A5201">
        <w:rPr>
          <w:lang w:val="es-PE"/>
        </w:rPr>
        <w:t xml:space="preserve">Esa </w:t>
      </w:r>
      <w:r w:rsidR="00A37447" w:rsidRPr="004A5201">
        <w:rPr>
          <w:lang w:val="es-PE"/>
        </w:rPr>
        <w:t xml:space="preserve">cifra </w:t>
      </w:r>
      <w:r w:rsidRPr="004A5201">
        <w:rPr>
          <w:lang w:val="es-PE"/>
        </w:rPr>
        <w:t xml:space="preserve">mide </w:t>
      </w:r>
      <w:r w:rsidR="00A37447" w:rsidRPr="004A5201">
        <w:rPr>
          <w:lang w:val="es-PE"/>
        </w:rPr>
        <w:t>los vehículos con equipo de GNV instalado y vigente, no los que efectivamente lo usan. En diciembre de 2025</w:t>
      </w:r>
      <w:r w:rsidRPr="004A5201">
        <w:rPr>
          <w:lang w:val="es-PE"/>
        </w:rPr>
        <w:t>,</w:t>
      </w:r>
      <w:r w:rsidR="00A37447" w:rsidRPr="004A5201">
        <w:rPr>
          <w:lang w:val="es-PE"/>
        </w:rPr>
        <w:t xml:space="preserve"> solo 351 mil registraron alguna carga, dos de cada tres del total habilitado; el resto conserva el sistema instalado pero no lo utiliza con regularidad.</w:t>
      </w:r>
    </w:p>
    <w:p w14:paraId="12DD00FD" w14:textId="77777777" w:rsidR="00A37447" w:rsidRPr="0036111A" w:rsidRDefault="00A37447">
      <w:pPr>
        <w:keepNext/>
        <w:keepLines/>
        <w:spacing w:before="160" w:after="20"/>
        <w:rPr>
          <w:lang w:val="es-PE"/>
        </w:rPr>
      </w:pPr>
      <w:r w:rsidRPr="0036111A">
        <w:rPr>
          <w:b/>
          <w:color w:val="00838F"/>
          <w:sz w:val="20"/>
          <w:lang w:val="es-PE"/>
        </w:rPr>
        <w:t>VEHÍCULOS A GNV ADICIONALES POR TIPO</w:t>
      </w:r>
    </w:p>
    <w:p w14:paraId="437BAEC5" w14:textId="77777777" w:rsidR="00A37447" w:rsidRPr="00B4606A" w:rsidRDefault="00A37447">
      <w:pPr>
        <w:keepNext/>
        <w:keepLines/>
        <w:spacing w:after="60"/>
        <w:rPr>
          <w:lang w:val="es-PE"/>
        </w:rPr>
      </w:pPr>
      <w:r w:rsidRPr="00B4606A">
        <w:rPr>
          <w:i/>
          <w:sz w:val="17"/>
          <w:lang w:val="es-PE"/>
        </w:rPr>
        <w:t>Cantidad de vehículos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316"/>
        <w:gridCol w:w="812"/>
        <w:gridCol w:w="1063"/>
        <w:gridCol w:w="1063"/>
        <w:gridCol w:w="1063"/>
        <w:gridCol w:w="1063"/>
        <w:gridCol w:w="1063"/>
        <w:gridCol w:w="1063"/>
      </w:tblGrid>
      <w:tr w:rsidR="00855697" w14:paraId="59B40477" w14:textId="77777777" w:rsidTr="002B4B90">
        <w:trPr>
          <w:cantSplit/>
          <w:tblHeader/>
        </w:trPr>
        <w:tc>
          <w:tcPr>
            <w:tcW w:w="1316" w:type="dxa"/>
            <w:shd w:val="clear" w:color="auto" w:fill="1F3864"/>
          </w:tcPr>
          <w:p w14:paraId="7AEC92A1" w14:textId="77777777" w:rsidR="00A37447" w:rsidRDefault="00A37447">
            <w:pPr>
              <w:keepNext/>
            </w:pPr>
            <w:r>
              <w:rPr>
                <w:b/>
                <w:color w:val="FFFFFF"/>
                <w:sz w:val="17"/>
              </w:rPr>
              <w:t>Tipo</w:t>
            </w:r>
          </w:p>
        </w:tc>
        <w:tc>
          <w:tcPr>
            <w:tcW w:w="812" w:type="dxa"/>
            <w:shd w:val="clear" w:color="auto" w:fill="1F3864"/>
            <w:noWrap/>
          </w:tcPr>
          <w:p w14:paraId="60C22D3D" w14:textId="77777777" w:rsidR="00A37447" w:rsidRDefault="00A37447">
            <w:pPr>
              <w:keepNext/>
              <w:jc w:val="right"/>
            </w:pPr>
            <w:r>
              <w:rPr>
                <w:b/>
                <w:color w:val="FFFFFF"/>
                <w:sz w:val="17"/>
              </w:rPr>
              <w:t>2021</w:t>
            </w:r>
          </w:p>
        </w:tc>
        <w:tc>
          <w:tcPr>
            <w:tcW w:w="1063" w:type="dxa"/>
            <w:shd w:val="clear" w:color="auto" w:fill="1F3864"/>
            <w:noWrap/>
          </w:tcPr>
          <w:p w14:paraId="144E55A7" w14:textId="77777777" w:rsidR="00A37447" w:rsidRDefault="00A37447">
            <w:pPr>
              <w:keepNext/>
              <w:jc w:val="right"/>
            </w:pPr>
            <w:r>
              <w:rPr>
                <w:b/>
                <w:color w:val="FFFFFF"/>
                <w:sz w:val="17"/>
              </w:rPr>
              <w:t>2022</w:t>
            </w:r>
          </w:p>
        </w:tc>
        <w:tc>
          <w:tcPr>
            <w:tcW w:w="1063" w:type="dxa"/>
            <w:shd w:val="clear" w:color="auto" w:fill="1F3864"/>
            <w:noWrap/>
          </w:tcPr>
          <w:p w14:paraId="1C38AF01" w14:textId="77777777" w:rsidR="00A37447" w:rsidRDefault="00A37447">
            <w:pPr>
              <w:keepNext/>
              <w:jc w:val="right"/>
            </w:pPr>
            <w:r>
              <w:rPr>
                <w:b/>
                <w:color w:val="FFFFFF"/>
                <w:sz w:val="17"/>
              </w:rPr>
              <w:t>2023</w:t>
            </w:r>
          </w:p>
        </w:tc>
        <w:tc>
          <w:tcPr>
            <w:tcW w:w="1063" w:type="dxa"/>
            <w:shd w:val="clear" w:color="auto" w:fill="1F3864"/>
            <w:noWrap/>
          </w:tcPr>
          <w:p w14:paraId="459E69D8" w14:textId="77777777" w:rsidR="00A37447" w:rsidRDefault="00A37447">
            <w:pPr>
              <w:keepNext/>
              <w:jc w:val="right"/>
            </w:pPr>
            <w:r>
              <w:rPr>
                <w:b/>
                <w:color w:val="FFFFFF"/>
                <w:sz w:val="17"/>
              </w:rPr>
              <w:t>2024</w:t>
            </w:r>
          </w:p>
        </w:tc>
        <w:tc>
          <w:tcPr>
            <w:tcW w:w="1063" w:type="dxa"/>
            <w:shd w:val="clear" w:color="auto" w:fill="1F3864"/>
            <w:noWrap/>
          </w:tcPr>
          <w:p w14:paraId="694F4AF3" w14:textId="77777777" w:rsidR="00A37447" w:rsidRDefault="00A37447">
            <w:pPr>
              <w:keepNext/>
              <w:jc w:val="right"/>
            </w:pPr>
            <w:r>
              <w:rPr>
                <w:b/>
                <w:color w:val="FFFFFF"/>
                <w:sz w:val="17"/>
              </w:rPr>
              <w:t>2025</w:t>
            </w:r>
          </w:p>
        </w:tc>
        <w:tc>
          <w:tcPr>
            <w:tcW w:w="1063" w:type="dxa"/>
            <w:shd w:val="clear" w:color="auto" w:fill="1F3864"/>
          </w:tcPr>
          <w:p w14:paraId="21FB310F" w14:textId="77777777" w:rsidR="00A37447" w:rsidRDefault="00A37447">
            <w:pPr>
              <w:keepNext/>
              <w:jc w:val="right"/>
            </w:pPr>
            <w:r>
              <w:rPr>
                <w:b/>
                <w:color w:val="FFFFFF"/>
                <w:sz w:val="17"/>
              </w:rPr>
              <w:t>Var. % 2025 vs 2024</w:t>
            </w:r>
          </w:p>
        </w:tc>
        <w:tc>
          <w:tcPr>
            <w:tcW w:w="1063" w:type="dxa"/>
            <w:shd w:val="clear" w:color="auto" w:fill="1F3864"/>
          </w:tcPr>
          <w:p w14:paraId="3C95CBB0" w14:textId="77777777" w:rsidR="00A37447" w:rsidRDefault="00A37447">
            <w:pPr>
              <w:keepNext/>
              <w:jc w:val="right"/>
            </w:pPr>
            <w:r>
              <w:rPr>
                <w:b/>
                <w:color w:val="FFFFFF"/>
                <w:sz w:val="17"/>
              </w:rPr>
              <w:t>TACC 2021-2025</w:t>
            </w:r>
          </w:p>
        </w:tc>
      </w:tr>
      <w:tr w:rsidR="00855697" w14:paraId="4C10F027" w14:textId="77777777" w:rsidTr="002B4B90">
        <w:trPr>
          <w:cantSplit/>
        </w:trPr>
        <w:tc>
          <w:tcPr>
            <w:tcW w:w="1316" w:type="dxa"/>
            <w:noWrap/>
          </w:tcPr>
          <w:p w14:paraId="6A1C27CA" w14:textId="77777777" w:rsidR="00A37447" w:rsidRDefault="00A37447">
            <w:pPr>
              <w:keepNext/>
              <w:spacing w:after="20"/>
            </w:pPr>
            <w:r>
              <w:rPr>
                <w:sz w:val="17"/>
              </w:rPr>
              <w:t>Convertidos</w:t>
            </w:r>
          </w:p>
        </w:tc>
        <w:tc>
          <w:tcPr>
            <w:tcW w:w="812" w:type="dxa"/>
            <w:noWrap/>
          </w:tcPr>
          <w:p w14:paraId="552F5310" w14:textId="77777777" w:rsidR="00A37447" w:rsidRDefault="00A37447">
            <w:pPr>
              <w:keepNext/>
              <w:spacing w:after="20"/>
              <w:jc w:val="right"/>
            </w:pPr>
            <w:r>
              <w:rPr>
                <w:sz w:val="16"/>
              </w:rPr>
              <w:t>18.796</w:t>
            </w:r>
          </w:p>
        </w:tc>
        <w:tc>
          <w:tcPr>
            <w:tcW w:w="1063" w:type="dxa"/>
            <w:noWrap/>
          </w:tcPr>
          <w:p w14:paraId="13926F1F" w14:textId="77777777" w:rsidR="00A37447" w:rsidRDefault="00A37447">
            <w:pPr>
              <w:keepNext/>
              <w:spacing w:after="20"/>
              <w:jc w:val="right"/>
            </w:pPr>
            <w:r>
              <w:rPr>
                <w:sz w:val="16"/>
              </w:rPr>
              <w:t>73.563</w:t>
            </w:r>
          </w:p>
        </w:tc>
        <w:tc>
          <w:tcPr>
            <w:tcW w:w="1063" w:type="dxa"/>
            <w:noWrap/>
          </w:tcPr>
          <w:p w14:paraId="73BDB7B9" w14:textId="77777777" w:rsidR="00A37447" w:rsidRDefault="00A37447">
            <w:pPr>
              <w:keepNext/>
              <w:spacing w:after="20"/>
              <w:jc w:val="right"/>
            </w:pPr>
            <w:r>
              <w:rPr>
                <w:sz w:val="16"/>
              </w:rPr>
              <w:t>55.893</w:t>
            </w:r>
          </w:p>
        </w:tc>
        <w:tc>
          <w:tcPr>
            <w:tcW w:w="1063" w:type="dxa"/>
            <w:noWrap/>
          </w:tcPr>
          <w:p w14:paraId="503E2EA4" w14:textId="77777777" w:rsidR="00A37447" w:rsidRDefault="00A37447">
            <w:pPr>
              <w:keepNext/>
              <w:spacing w:after="20"/>
              <w:jc w:val="right"/>
            </w:pPr>
            <w:r>
              <w:rPr>
                <w:sz w:val="16"/>
              </w:rPr>
              <w:t>44.639</w:t>
            </w:r>
          </w:p>
        </w:tc>
        <w:tc>
          <w:tcPr>
            <w:tcW w:w="1063" w:type="dxa"/>
            <w:noWrap/>
          </w:tcPr>
          <w:p w14:paraId="7C901BEC" w14:textId="77777777" w:rsidR="00A37447" w:rsidRDefault="00A37447">
            <w:pPr>
              <w:keepNext/>
              <w:spacing w:after="20"/>
              <w:jc w:val="right"/>
            </w:pPr>
            <w:r>
              <w:rPr>
                <w:sz w:val="16"/>
              </w:rPr>
              <w:t>34.833</w:t>
            </w:r>
          </w:p>
        </w:tc>
        <w:tc>
          <w:tcPr>
            <w:tcW w:w="1063" w:type="dxa"/>
            <w:noWrap/>
          </w:tcPr>
          <w:p w14:paraId="3F8C1E7A" w14:textId="77777777" w:rsidR="00A37447" w:rsidRDefault="00A37447">
            <w:pPr>
              <w:keepNext/>
              <w:spacing w:after="20"/>
              <w:jc w:val="right"/>
            </w:pPr>
            <w:r>
              <w:rPr>
                <w:sz w:val="16"/>
              </w:rPr>
              <w:t>-22,0 %</w:t>
            </w:r>
          </w:p>
        </w:tc>
        <w:tc>
          <w:tcPr>
            <w:tcW w:w="1063" w:type="dxa"/>
            <w:noWrap/>
          </w:tcPr>
          <w:p w14:paraId="7D79FDF7" w14:textId="77777777" w:rsidR="00A37447" w:rsidRDefault="00A37447">
            <w:pPr>
              <w:keepNext/>
              <w:spacing w:after="20"/>
              <w:jc w:val="right"/>
            </w:pPr>
            <w:r>
              <w:rPr>
                <w:sz w:val="16"/>
              </w:rPr>
              <w:t>16,7 %</w:t>
            </w:r>
          </w:p>
        </w:tc>
      </w:tr>
      <w:tr w:rsidR="00855697" w14:paraId="2E3A116A" w14:textId="77777777" w:rsidTr="002B4B90">
        <w:trPr>
          <w:cantSplit/>
        </w:trPr>
        <w:tc>
          <w:tcPr>
            <w:tcW w:w="1316" w:type="dxa"/>
            <w:noWrap/>
          </w:tcPr>
          <w:p w14:paraId="40D9F916" w14:textId="77777777" w:rsidR="00A37447" w:rsidRDefault="00A37447">
            <w:pPr>
              <w:keepNext/>
              <w:spacing w:after="20"/>
            </w:pPr>
            <w:r>
              <w:rPr>
                <w:sz w:val="17"/>
              </w:rPr>
              <w:t>Nuevos</w:t>
            </w:r>
          </w:p>
        </w:tc>
        <w:tc>
          <w:tcPr>
            <w:tcW w:w="812" w:type="dxa"/>
            <w:noWrap/>
          </w:tcPr>
          <w:p w14:paraId="05359092" w14:textId="77777777" w:rsidR="00A37447" w:rsidRDefault="00A37447">
            <w:pPr>
              <w:keepNext/>
              <w:spacing w:after="20"/>
              <w:jc w:val="right"/>
            </w:pPr>
            <w:r>
              <w:rPr>
                <w:sz w:val="16"/>
              </w:rPr>
              <w:t>1.646</w:t>
            </w:r>
          </w:p>
        </w:tc>
        <w:tc>
          <w:tcPr>
            <w:tcW w:w="1063" w:type="dxa"/>
            <w:noWrap/>
          </w:tcPr>
          <w:p w14:paraId="72F7E0C4" w14:textId="77777777" w:rsidR="00A37447" w:rsidRDefault="00A37447">
            <w:pPr>
              <w:keepNext/>
              <w:spacing w:after="20"/>
              <w:jc w:val="right"/>
            </w:pPr>
            <w:r>
              <w:rPr>
                <w:sz w:val="16"/>
              </w:rPr>
              <w:t>943</w:t>
            </w:r>
          </w:p>
        </w:tc>
        <w:tc>
          <w:tcPr>
            <w:tcW w:w="1063" w:type="dxa"/>
            <w:noWrap/>
          </w:tcPr>
          <w:p w14:paraId="2A76B418" w14:textId="77777777" w:rsidR="00A37447" w:rsidRDefault="00A37447">
            <w:pPr>
              <w:keepNext/>
              <w:spacing w:after="20"/>
              <w:jc w:val="right"/>
            </w:pPr>
            <w:r>
              <w:rPr>
                <w:sz w:val="16"/>
              </w:rPr>
              <w:t>1.054</w:t>
            </w:r>
          </w:p>
        </w:tc>
        <w:tc>
          <w:tcPr>
            <w:tcW w:w="1063" w:type="dxa"/>
            <w:noWrap/>
          </w:tcPr>
          <w:p w14:paraId="26E7BDFC" w14:textId="77777777" w:rsidR="00A37447" w:rsidRDefault="00A37447">
            <w:pPr>
              <w:keepNext/>
              <w:spacing w:after="20"/>
              <w:jc w:val="right"/>
            </w:pPr>
            <w:r>
              <w:rPr>
                <w:sz w:val="16"/>
              </w:rPr>
              <w:t>1.476</w:t>
            </w:r>
          </w:p>
        </w:tc>
        <w:tc>
          <w:tcPr>
            <w:tcW w:w="1063" w:type="dxa"/>
            <w:noWrap/>
          </w:tcPr>
          <w:p w14:paraId="2370280B" w14:textId="77777777" w:rsidR="00A37447" w:rsidRDefault="00A37447">
            <w:pPr>
              <w:keepNext/>
              <w:spacing w:after="20"/>
              <w:jc w:val="right"/>
            </w:pPr>
            <w:r>
              <w:rPr>
                <w:sz w:val="16"/>
              </w:rPr>
              <w:t>1.697</w:t>
            </w:r>
          </w:p>
        </w:tc>
        <w:tc>
          <w:tcPr>
            <w:tcW w:w="1063" w:type="dxa"/>
            <w:noWrap/>
          </w:tcPr>
          <w:p w14:paraId="20BCEA04" w14:textId="77777777" w:rsidR="00A37447" w:rsidRDefault="00A37447">
            <w:pPr>
              <w:keepNext/>
              <w:spacing w:after="20"/>
              <w:jc w:val="right"/>
            </w:pPr>
            <w:r>
              <w:rPr>
                <w:sz w:val="16"/>
              </w:rPr>
              <w:t>15,0 %</w:t>
            </w:r>
          </w:p>
        </w:tc>
        <w:tc>
          <w:tcPr>
            <w:tcW w:w="1063" w:type="dxa"/>
            <w:noWrap/>
          </w:tcPr>
          <w:p w14:paraId="0A6A61E4" w14:textId="77777777" w:rsidR="00A37447" w:rsidRDefault="00A37447">
            <w:pPr>
              <w:keepNext/>
              <w:spacing w:after="20"/>
              <w:jc w:val="right"/>
            </w:pPr>
            <w:r>
              <w:rPr>
                <w:sz w:val="16"/>
              </w:rPr>
              <w:t>0,8 %</w:t>
            </w:r>
          </w:p>
        </w:tc>
      </w:tr>
      <w:tr w:rsidR="00855697" w14:paraId="48388B02" w14:textId="77777777" w:rsidTr="002B4B90">
        <w:trPr>
          <w:cantSplit/>
        </w:trPr>
        <w:tc>
          <w:tcPr>
            <w:tcW w:w="1316" w:type="dxa"/>
            <w:noWrap/>
          </w:tcPr>
          <w:p w14:paraId="04BAE215" w14:textId="77777777" w:rsidR="00A37447" w:rsidRDefault="00A37447">
            <w:pPr>
              <w:keepNext/>
              <w:spacing w:after="20"/>
            </w:pPr>
            <w:r>
              <w:rPr>
                <w:sz w:val="17"/>
              </w:rPr>
              <w:t>Ensamblados</w:t>
            </w:r>
          </w:p>
        </w:tc>
        <w:tc>
          <w:tcPr>
            <w:tcW w:w="812" w:type="dxa"/>
            <w:noWrap/>
          </w:tcPr>
          <w:p w14:paraId="107FF98D" w14:textId="77777777" w:rsidR="00A37447" w:rsidRDefault="00A37447">
            <w:pPr>
              <w:keepNext/>
              <w:spacing w:after="20"/>
              <w:jc w:val="right"/>
            </w:pPr>
            <w:r>
              <w:rPr>
                <w:sz w:val="16"/>
              </w:rPr>
              <w:t>0</w:t>
            </w:r>
          </w:p>
        </w:tc>
        <w:tc>
          <w:tcPr>
            <w:tcW w:w="1063" w:type="dxa"/>
            <w:noWrap/>
          </w:tcPr>
          <w:p w14:paraId="1895595C" w14:textId="77777777" w:rsidR="00A37447" w:rsidRDefault="00A37447">
            <w:pPr>
              <w:keepNext/>
              <w:spacing w:after="20"/>
              <w:jc w:val="right"/>
            </w:pPr>
            <w:r>
              <w:rPr>
                <w:sz w:val="16"/>
              </w:rPr>
              <w:t>0</w:t>
            </w:r>
          </w:p>
        </w:tc>
        <w:tc>
          <w:tcPr>
            <w:tcW w:w="1063" w:type="dxa"/>
            <w:noWrap/>
          </w:tcPr>
          <w:p w14:paraId="3491EEAC" w14:textId="77777777" w:rsidR="00A37447" w:rsidRDefault="00A37447">
            <w:pPr>
              <w:keepNext/>
              <w:spacing w:after="20"/>
              <w:jc w:val="right"/>
            </w:pPr>
            <w:r>
              <w:rPr>
                <w:sz w:val="16"/>
              </w:rPr>
              <w:t>0</w:t>
            </w:r>
          </w:p>
        </w:tc>
        <w:tc>
          <w:tcPr>
            <w:tcW w:w="1063" w:type="dxa"/>
            <w:noWrap/>
          </w:tcPr>
          <w:p w14:paraId="5D7E0490" w14:textId="77777777" w:rsidR="00A37447" w:rsidRDefault="00A37447">
            <w:pPr>
              <w:keepNext/>
              <w:spacing w:after="20"/>
              <w:jc w:val="right"/>
            </w:pPr>
            <w:r>
              <w:rPr>
                <w:sz w:val="16"/>
              </w:rPr>
              <w:t>0</w:t>
            </w:r>
          </w:p>
        </w:tc>
        <w:tc>
          <w:tcPr>
            <w:tcW w:w="1063" w:type="dxa"/>
            <w:noWrap/>
          </w:tcPr>
          <w:p w14:paraId="4681FE79" w14:textId="77777777" w:rsidR="00A37447" w:rsidRDefault="00A37447">
            <w:pPr>
              <w:keepNext/>
              <w:spacing w:after="20"/>
              <w:jc w:val="right"/>
            </w:pPr>
            <w:r>
              <w:rPr>
                <w:sz w:val="16"/>
              </w:rPr>
              <w:t>0</w:t>
            </w:r>
          </w:p>
        </w:tc>
        <w:tc>
          <w:tcPr>
            <w:tcW w:w="1063" w:type="dxa"/>
            <w:noWrap/>
          </w:tcPr>
          <w:p w14:paraId="040C52F5" w14:textId="77777777" w:rsidR="00A37447" w:rsidRPr="002B4B90" w:rsidRDefault="00A37447">
            <w:pPr>
              <w:keepNext/>
              <w:spacing w:after="20"/>
              <w:jc w:val="right"/>
              <w:rPr>
                <w:sz w:val="16"/>
                <w:szCs w:val="16"/>
              </w:rPr>
            </w:pPr>
            <w:r w:rsidRPr="002B4B90">
              <w:rPr>
                <w:sz w:val="16"/>
                <w:szCs w:val="16"/>
              </w:rPr>
              <w:t>n.</w:t>
            </w:r>
            <w:r>
              <w:rPr>
                <w:sz w:val="16"/>
                <w:szCs w:val="16"/>
              </w:rPr>
              <w:t xml:space="preserve"> </w:t>
            </w:r>
            <w:r w:rsidRPr="002B4B90">
              <w:rPr>
                <w:sz w:val="16"/>
                <w:szCs w:val="16"/>
              </w:rPr>
              <w:t>a.</w:t>
            </w:r>
          </w:p>
        </w:tc>
        <w:tc>
          <w:tcPr>
            <w:tcW w:w="1063" w:type="dxa"/>
            <w:noWrap/>
          </w:tcPr>
          <w:p w14:paraId="67D7432A" w14:textId="77777777" w:rsidR="00A37447" w:rsidRPr="002B4B90" w:rsidRDefault="00A37447">
            <w:pPr>
              <w:keepNext/>
              <w:spacing w:after="20"/>
              <w:jc w:val="right"/>
              <w:rPr>
                <w:sz w:val="16"/>
                <w:szCs w:val="16"/>
              </w:rPr>
            </w:pPr>
            <w:r w:rsidRPr="002B4B90">
              <w:rPr>
                <w:sz w:val="16"/>
                <w:szCs w:val="16"/>
              </w:rPr>
              <w:t>n.</w:t>
            </w:r>
            <w:r>
              <w:rPr>
                <w:sz w:val="16"/>
                <w:szCs w:val="16"/>
              </w:rPr>
              <w:t xml:space="preserve"> </w:t>
            </w:r>
            <w:r w:rsidRPr="002B4B90">
              <w:rPr>
                <w:sz w:val="16"/>
                <w:szCs w:val="16"/>
              </w:rPr>
              <w:t>a.</w:t>
            </w:r>
          </w:p>
        </w:tc>
      </w:tr>
      <w:tr w:rsidR="00855697" w14:paraId="5410B77D" w14:textId="77777777" w:rsidTr="002B4B90">
        <w:trPr>
          <w:cantSplit/>
        </w:trPr>
        <w:tc>
          <w:tcPr>
            <w:tcW w:w="1316" w:type="dxa"/>
            <w:noWrap/>
          </w:tcPr>
          <w:p w14:paraId="3C39A305" w14:textId="77777777" w:rsidR="00A37447" w:rsidRDefault="00A37447">
            <w:pPr>
              <w:keepNext/>
              <w:spacing w:after="20"/>
            </w:pPr>
            <w:r>
              <w:rPr>
                <w:b/>
                <w:sz w:val="17"/>
              </w:rPr>
              <w:t>Total</w:t>
            </w:r>
          </w:p>
        </w:tc>
        <w:tc>
          <w:tcPr>
            <w:tcW w:w="812" w:type="dxa"/>
            <w:noWrap/>
          </w:tcPr>
          <w:p w14:paraId="0A2FC1C0" w14:textId="77777777" w:rsidR="00A37447" w:rsidRDefault="00A37447">
            <w:pPr>
              <w:keepNext/>
              <w:spacing w:after="20"/>
              <w:jc w:val="right"/>
            </w:pPr>
            <w:r>
              <w:rPr>
                <w:sz w:val="16"/>
              </w:rPr>
              <w:t>20.442</w:t>
            </w:r>
          </w:p>
        </w:tc>
        <w:tc>
          <w:tcPr>
            <w:tcW w:w="1063" w:type="dxa"/>
            <w:noWrap/>
          </w:tcPr>
          <w:p w14:paraId="65288870" w14:textId="77777777" w:rsidR="00A37447" w:rsidRDefault="00A37447">
            <w:pPr>
              <w:keepNext/>
              <w:spacing w:after="20"/>
              <w:jc w:val="right"/>
            </w:pPr>
            <w:r>
              <w:rPr>
                <w:sz w:val="16"/>
              </w:rPr>
              <w:t>74.506</w:t>
            </w:r>
          </w:p>
        </w:tc>
        <w:tc>
          <w:tcPr>
            <w:tcW w:w="1063" w:type="dxa"/>
            <w:noWrap/>
          </w:tcPr>
          <w:p w14:paraId="5F071889" w14:textId="77777777" w:rsidR="00A37447" w:rsidRDefault="00A37447">
            <w:pPr>
              <w:keepNext/>
              <w:spacing w:after="20"/>
              <w:jc w:val="right"/>
            </w:pPr>
            <w:r>
              <w:rPr>
                <w:sz w:val="16"/>
              </w:rPr>
              <w:t>56.947</w:t>
            </w:r>
          </w:p>
        </w:tc>
        <w:tc>
          <w:tcPr>
            <w:tcW w:w="1063" w:type="dxa"/>
            <w:noWrap/>
          </w:tcPr>
          <w:p w14:paraId="2E453688" w14:textId="77777777" w:rsidR="00A37447" w:rsidRDefault="00A37447">
            <w:pPr>
              <w:keepNext/>
              <w:spacing w:after="20"/>
              <w:jc w:val="right"/>
            </w:pPr>
            <w:r>
              <w:rPr>
                <w:sz w:val="16"/>
              </w:rPr>
              <w:t>46.115</w:t>
            </w:r>
          </w:p>
        </w:tc>
        <w:tc>
          <w:tcPr>
            <w:tcW w:w="1063" w:type="dxa"/>
            <w:noWrap/>
          </w:tcPr>
          <w:p w14:paraId="3049D56D" w14:textId="77777777" w:rsidR="00A37447" w:rsidRDefault="00A37447">
            <w:pPr>
              <w:keepNext/>
              <w:spacing w:after="20"/>
              <w:jc w:val="right"/>
            </w:pPr>
            <w:r>
              <w:rPr>
                <w:sz w:val="16"/>
              </w:rPr>
              <w:t>36.530</w:t>
            </w:r>
          </w:p>
        </w:tc>
        <w:tc>
          <w:tcPr>
            <w:tcW w:w="1063" w:type="dxa"/>
            <w:noWrap/>
          </w:tcPr>
          <w:p w14:paraId="1B8D7E28" w14:textId="77777777" w:rsidR="00A37447" w:rsidRDefault="00A37447">
            <w:pPr>
              <w:keepNext/>
              <w:spacing w:after="20"/>
              <w:jc w:val="right"/>
            </w:pPr>
            <w:r>
              <w:rPr>
                <w:sz w:val="16"/>
              </w:rPr>
              <w:t>-20,8 %</w:t>
            </w:r>
          </w:p>
        </w:tc>
        <w:tc>
          <w:tcPr>
            <w:tcW w:w="1063" w:type="dxa"/>
            <w:noWrap/>
          </w:tcPr>
          <w:p w14:paraId="1E2D89EB" w14:textId="77777777" w:rsidR="00A37447" w:rsidRDefault="00A37447">
            <w:pPr>
              <w:keepNext/>
              <w:spacing w:after="20"/>
              <w:jc w:val="right"/>
            </w:pPr>
            <w:r>
              <w:rPr>
                <w:sz w:val="16"/>
              </w:rPr>
              <w:t>15,6 %</w:t>
            </w:r>
          </w:p>
        </w:tc>
      </w:tr>
    </w:tbl>
    <w:p w14:paraId="205C1C51" w14:textId="77777777" w:rsidR="00A37447" w:rsidRDefault="00A37447">
      <w:pPr>
        <w:keepLines/>
        <w:spacing w:before="40"/>
        <w:jc w:val="right"/>
      </w:pPr>
      <w:r>
        <w:rPr>
          <w:b/>
          <w:color w:val="404040"/>
          <w:sz w:val="15"/>
        </w:rPr>
        <w:t>FUENTE: Infogas</w:t>
      </w:r>
    </w:p>
    <w:p w14:paraId="1AB4E34D" w14:textId="77777777" w:rsidR="00A37447" w:rsidRDefault="00A37447">
      <w:pPr>
        <w:spacing w:before="160"/>
        <w:jc w:val="center"/>
      </w:pPr>
    </w:p>
    <w:p w14:paraId="2880BCB1" w14:textId="77777777" w:rsidR="00C75A27" w:rsidRDefault="00D4093E">
      <w:pPr>
        <w:spacing w:before="160"/>
        <w:jc w:val="center"/>
      </w:pPr>
      <w:r>
        <w:rPr>
          <w:noProof/>
        </w:rPr>
        <w:lastRenderedPageBreak/>
        <w:drawing>
          <wp:inline distT="0" distB="0" distL="0" distR="0" wp14:anchorId="2C991EEE" wp14:editId="09446270">
            <wp:extent cx="4320000" cy="2726122"/>
            <wp:effectExtent l="0" t="0" r="0" b="0"/>
            <wp:docPr id="90057" name="Picture 9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45.png"/>
                    <pic:cNvPicPr/>
                  </pic:nvPicPr>
                  <pic:blipFill>
                    <a:blip r:embed="rId75"/>
                    <a:stretch>
                      <a:fillRect/>
                    </a:stretch>
                  </pic:blipFill>
                  <pic:spPr>
                    <a:xfrm>
                      <a:off x="0" y="0"/>
                      <a:ext cx="4320000" cy="2726122"/>
                    </a:xfrm>
                    <a:prstGeom prst="rect">
                      <a:avLst/>
                    </a:prstGeom>
                  </pic:spPr>
                </pic:pic>
              </a:graphicData>
            </a:graphic>
          </wp:inline>
        </w:drawing>
      </w:r>
    </w:p>
    <w:p w14:paraId="6DD3A339" w14:textId="77777777" w:rsidR="00C75A27" w:rsidRDefault="00D4093E">
      <w:pPr>
        <w:spacing w:before="160"/>
        <w:jc w:val="center"/>
      </w:pPr>
      <w:r>
        <w:rPr>
          <w:noProof/>
        </w:rPr>
        <w:drawing>
          <wp:inline distT="0" distB="0" distL="0" distR="0" wp14:anchorId="1F810B3A" wp14:editId="34986DD0">
            <wp:extent cx="4320000" cy="2889351"/>
            <wp:effectExtent l="0" t="0" r="0" b="0"/>
            <wp:docPr id="90058" name="Picture 9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46.png"/>
                    <pic:cNvPicPr/>
                  </pic:nvPicPr>
                  <pic:blipFill>
                    <a:blip r:embed="rId76"/>
                    <a:stretch>
                      <a:fillRect/>
                    </a:stretch>
                  </pic:blipFill>
                  <pic:spPr>
                    <a:xfrm>
                      <a:off x="0" y="0"/>
                      <a:ext cx="4320000" cy="2889351"/>
                    </a:xfrm>
                    <a:prstGeom prst="rect">
                      <a:avLst/>
                    </a:prstGeom>
                  </pic:spPr>
                </pic:pic>
              </a:graphicData>
            </a:graphic>
          </wp:inline>
        </w:drawing>
      </w:r>
    </w:p>
    <w:p w14:paraId="6B29A223" w14:textId="77777777" w:rsidR="00A37447" w:rsidRDefault="00A37447">
      <w:pPr>
        <w:spacing w:before="160"/>
        <w:jc w:val="center"/>
      </w:pPr>
    </w:p>
    <w:p w14:paraId="70252785" w14:textId="77777777" w:rsidR="00A37447" w:rsidRPr="0036111A" w:rsidRDefault="00A37447">
      <w:pPr>
        <w:keepLines/>
        <w:rPr>
          <w:lang w:val="es-PE"/>
        </w:rPr>
      </w:pPr>
      <w:r w:rsidRPr="0036111A">
        <w:rPr>
          <w:lang w:val="es-PE"/>
        </w:rPr>
        <w:t>Durante 2025</w:t>
      </w:r>
      <w:r>
        <w:rPr>
          <w:lang w:val="es-PE"/>
        </w:rPr>
        <w:t>,</w:t>
      </w:r>
      <w:r w:rsidRPr="0036111A">
        <w:rPr>
          <w:lang w:val="es-PE"/>
        </w:rPr>
        <w:t xml:space="preserve"> ingresaron a circulación casi 37 mil nuevos vehículos a gas natural, lo que representa una caída de 21 % respecto a los 46 mil de 2024 y el cuarto mayor registro anual de la historia, muy cerca del alcanzado en 2008, en los inicios de la industria. La gran mayoría correspondió a vehículos convertidos desde otros combustibles (35 mil unidades), mientras que los vehículos nuevos de fábrica con sistema GNV continuaron ganando terreno, con casi 1.700 unidades (+15 %).</w:t>
      </w:r>
    </w:p>
    <w:p w14:paraId="02A9537B" w14:textId="4A66D806" w:rsidR="00A37447" w:rsidRPr="003E0D14" w:rsidRDefault="00A37447" w:rsidP="00A703C5">
      <w:pPr>
        <w:keepLines/>
        <w:rPr>
          <w:lang w:val="es-PE"/>
        </w:rPr>
      </w:pPr>
      <w:r w:rsidRPr="0036111A">
        <w:rPr>
          <w:lang w:val="es-PE"/>
        </w:rPr>
        <w:t xml:space="preserve">La desaceleración de las conversiones acumula </w:t>
      </w:r>
      <w:r w:rsidR="00863BE3">
        <w:rPr>
          <w:lang w:val="es-PE"/>
        </w:rPr>
        <w:t>tres</w:t>
      </w:r>
      <w:r w:rsidRPr="0036111A">
        <w:rPr>
          <w:lang w:val="es-PE"/>
        </w:rPr>
        <w:t xml:space="preserve"> años consecutivos tras el máximo de 75 mil unidades en 2022. El programa Ahorro GNV del FISE, activo desde finales de 2021, sigue siendo el principal motor del sector al financiar conversiones en cinco años sin intereses ni comisiones y, en algunos casos, otorgar un bono de hasta 50 % del costo. De hecho, en 2025 cerca de dos de cada tres vehículos incorporados fueron financiados (23 mil de un total de 36,5 mil) y Lima y Callao concentró alrededor del 90 % de las conversiones (31,2 mil). La ralentización del año refleja, en parte, una base de potenciales usuarios más acotada en esa zona </w:t>
      </w:r>
      <w:r>
        <w:rPr>
          <w:lang w:val="es-PE"/>
        </w:rPr>
        <w:t>–</w:t>
      </w:r>
      <w:r w:rsidRPr="0036111A">
        <w:rPr>
          <w:lang w:val="es-PE"/>
        </w:rPr>
        <w:t>la de mayor concentración del programa</w:t>
      </w:r>
      <w:r>
        <w:rPr>
          <w:lang w:val="es-PE"/>
        </w:rPr>
        <w:t>–</w:t>
      </w:r>
      <w:r w:rsidRPr="0036111A">
        <w:rPr>
          <w:lang w:val="es-PE"/>
        </w:rPr>
        <w:t xml:space="preserve"> y una menor tracción del subsidio a medida que el esquema madura.</w:t>
      </w:r>
    </w:p>
    <w:p w14:paraId="34F4597F" w14:textId="7C8FA948" w:rsidR="00A37447" w:rsidRPr="0036111A" w:rsidRDefault="00A37447">
      <w:pPr>
        <w:keepLines/>
        <w:rPr>
          <w:lang w:val="es-PE"/>
        </w:rPr>
      </w:pPr>
      <w:r w:rsidRPr="0036111A">
        <w:rPr>
          <w:lang w:val="es-PE"/>
        </w:rPr>
        <w:lastRenderedPageBreak/>
        <w:t xml:space="preserve">Las ventas de Gas Natural Vehicular Comprimido (GNV-C) alcanzaron 987 millones de metros cúbicos en 2025, un nuevo máximo histórico y un crecimiento de 4 % respecto a los 950 millones de 2024. El dinamismo sostenido desde la pandemia </w:t>
      </w:r>
      <w:r>
        <w:rPr>
          <w:lang w:val="es-PE"/>
        </w:rPr>
        <w:t>–</w:t>
      </w:r>
      <w:r w:rsidRPr="0036111A">
        <w:rPr>
          <w:lang w:val="es-PE"/>
        </w:rPr>
        <w:t>con una TACC de 13 % entre 2021 y 2025</w:t>
      </w:r>
      <w:r>
        <w:rPr>
          <w:lang w:val="es-PE"/>
        </w:rPr>
        <w:t>–</w:t>
      </w:r>
      <w:r w:rsidRPr="0036111A">
        <w:rPr>
          <w:lang w:val="es-PE"/>
        </w:rPr>
        <w:t xml:space="preserve"> refleja el aumento de la flota activa y la normalización de la movilidad urbana. El GNV-C acumula cinco años consecutivos de crecimiento desde los mínimos de 2020.</w:t>
      </w:r>
    </w:p>
    <w:p w14:paraId="1D1A1F61" w14:textId="222AA38F" w:rsidR="00A37447" w:rsidRDefault="00A37447">
      <w:pPr>
        <w:spacing w:before="160"/>
        <w:jc w:val="center"/>
      </w:pPr>
      <w:r>
        <w:rPr>
          <w:noProof/>
        </w:rPr>
        <w:drawing>
          <wp:inline distT="0" distB="0" distL="0" distR="0" wp14:anchorId="56B991D0" wp14:editId="281BBCD1">
            <wp:extent cx="4320000" cy="2696104"/>
            <wp:effectExtent l="0" t="0" r="0" b="0"/>
            <wp:docPr id="90059" name="Picture 9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47.png"/>
                    <pic:cNvPicPr/>
                  </pic:nvPicPr>
                  <pic:blipFill>
                    <a:blip r:embed="rId77"/>
                    <a:stretch>
                      <a:fillRect/>
                    </a:stretch>
                  </pic:blipFill>
                  <pic:spPr>
                    <a:xfrm>
                      <a:off x="0" y="0"/>
                      <a:ext cx="4320000" cy="2696104"/>
                    </a:xfrm>
                    <a:prstGeom prst="rect">
                      <a:avLst/>
                    </a:prstGeom>
                  </pic:spPr>
                </pic:pic>
              </a:graphicData>
            </a:graphic>
          </wp:inline>
        </w:drawing>
      </w:r>
    </w:p>
    <w:p w14:paraId="0E32863C" w14:textId="77777777" w:rsidR="00A37447" w:rsidRDefault="00A37447"/>
    <w:p w14:paraId="373E103A" w14:textId="77777777" w:rsidR="00A37447" w:rsidRPr="0036111A" w:rsidRDefault="00A37447">
      <w:pPr>
        <w:pStyle w:val="Ttulo4"/>
        <w:rPr>
          <w:lang w:val="es-PE"/>
        </w:rPr>
      </w:pPr>
      <w:bookmarkStart w:id="22" w:name="_Toc235083026"/>
      <w:r w:rsidRPr="0036111A">
        <w:rPr>
          <w:lang w:val="es-PE"/>
        </w:rPr>
        <w:t>3.2.7.2. GNV licuado (GNV-L)</w:t>
      </w:r>
      <w:bookmarkEnd w:id="22"/>
    </w:p>
    <w:p w14:paraId="6301501E" w14:textId="2E5E3893" w:rsidR="00A37447" w:rsidRPr="0036111A" w:rsidRDefault="00A37447">
      <w:pPr>
        <w:keepLines/>
        <w:rPr>
          <w:lang w:val="es-PE"/>
        </w:rPr>
      </w:pPr>
      <w:r w:rsidRPr="0036111A">
        <w:rPr>
          <w:lang w:val="es-PE"/>
        </w:rPr>
        <w:t>Junto al comprimido empieza a asomar una segunda tecnología. El gas natural licuado se almacena a muy baja temperatura, concentra más energía por tanque y ofrece autonomías de entre 1.200 y 2.200 kilómetros por carga: es el combustible del transporte pesado de carretera, donde el comprimido no alcanza. El mercado, sin embargo, está en sus primeros pasos. Al cierre de 2025 circulaban cerca de 650 vehículos de carga pesada a GNV-L en todo el país, casi cinco veces los 132 registrados un año antes. El ritmo es bueno, pero aún hay mucho camino por recorrer. De momento, apenas dos de cada mil camiones de carga usan esta tecnología.</w:t>
      </w:r>
    </w:p>
    <w:p w14:paraId="446B80F0" w14:textId="1E0F6545" w:rsidR="00A37447" w:rsidRPr="0036111A" w:rsidRDefault="00A37447">
      <w:pPr>
        <w:keepLines/>
        <w:rPr>
          <w:lang w:val="es-PE"/>
        </w:rPr>
      </w:pPr>
      <w:r w:rsidRPr="0036111A">
        <w:rPr>
          <w:lang w:val="es-PE"/>
        </w:rPr>
        <w:t>La infraestructura avanza por delante de la flota. A inicios de 2026, Quavii firmó contratos para nuevas estaciones de gas natural licuado en Trujillo y Casma, que amplían el Corredor Verde del eje Lima</w:t>
      </w:r>
      <w:r>
        <w:rPr>
          <w:lang w:val="es-PE"/>
        </w:rPr>
        <w:t>-</w:t>
      </w:r>
      <w:r w:rsidRPr="0036111A">
        <w:rPr>
          <w:lang w:val="es-PE"/>
        </w:rPr>
        <w:t>Chiclayo, y los operadores que ya migraron reportan ahorros de entre 25 % y 40 % frente al diésel. El Ministerio de Energía y Minas proyecta una demanda de gas natural licuado en transporte pesado superior a ocho petajoules anuales hacia 2040: unos 21 millones de pies cúbicos diarios, una cuarta parte de lo que hoy consume todo el segmento vehicular.</w:t>
      </w:r>
    </w:p>
    <w:p w14:paraId="66CDBAB0" w14:textId="12242AE7" w:rsidR="00A37447" w:rsidRPr="003E0D14" w:rsidRDefault="00A37447">
      <w:pPr>
        <w:pStyle w:val="Ttulo3"/>
        <w:pageBreakBefore/>
        <w:rPr>
          <w:lang w:val="es-PE"/>
        </w:rPr>
      </w:pPr>
      <w:bookmarkStart w:id="23" w:name="_Toc235083033"/>
      <w:r w:rsidRPr="003E0D14">
        <w:rPr>
          <w:lang w:val="es-PE"/>
        </w:rPr>
        <w:lastRenderedPageBreak/>
        <w:t>3.2.8. Tarifas</w:t>
      </w:r>
      <w:bookmarkEnd w:id="23"/>
    </w:p>
    <w:p w14:paraId="7D7FF25C" w14:textId="4E9462DE" w:rsidR="00A37447" w:rsidRPr="0036111A" w:rsidRDefault="6CE6B1C6">
      <w:pPr>
        <w:keepLines/>
        <w:spacing w:after="120"/>
        <w:rPr>
          <w:lang w:val="es-PE"/>
        </w:rPr>
      </w:pPr>
      <w:r w:rsidRPr="6A75BC5D">
        <w:rPr>
          <w:lang w:val="es-PE"/>
        </w:rPr>
        <w:t xml:space="preserve">En 2025, las tarifas de gas natural en dólares se mantuvieron </w:t>
      </w:r>
      <w:r w:rsidR="27000107" w:rsidRPr="6A75BC5D">
        <w:rPr>
          <w:lang w:val="es-PE"/>
        </w:rPr>
        <w:t xml:space="preserve">relativamente </w:t>
      </w:r>
      <w:r w:rsidRPr="6A75BC5D">
        <w:rPr>
          <w:lang w:val="es-PE"/>
        </w:rPr>
        <w:t xml:space="preserve">estables en la mayoría de concesiones, salvo en la Concesión Norte, donde la nueva fijación tarifaria 2025-2028 </w:t>
      </w:r>
      <w:r w:rsidR="0432FB6C" w:rsidRPr="6A75BC5D">
        <w:rPr>
          <w:lang w:val="es-PE"/>
        </w:rPr>
        <w:t>forzó una competitividad inexistente con la reducción de la mayoría de las tarifas</w:t>
      </w:r>
      <w:r w:rsidRPr="6A75BC5D">
        <w:rPr>
          <w:lang w:val="es-PE"/>
        </w:rPr>
        <w:t xml:space="preserve"> de Gases del Pacífico (ver 3.2.8.2).</w:t>
      </w:r>
    </w:p>
    <w:p w14:paraId="3081C05D" w14:textId="77777777" w:rsidR="00A37447" w:rsidRPr="0036111A" w:rsidRDefault="00A37447">
      <w:pPr>
        <w:keepLines/>
        <w:spacing w:after="120"/>
        <w:rPr>
          <w:lang w:val="es-PE"/>
        </w:rPr>
      </w:pPr>
      <w:r w:rsidRPr="0036111A">
        <w:rPr>
          <w:lang w:val="es-PE"/>
        </w:rPr>
        <w:t>Petroperú (Concesión Sur Oeste) mantuvo las tarifas más altas del sistema, consecuencia de su menor escala y del esquema de abastecimiento con GNL transportado por camión. Cálidda y Gases del Norte registraron los niveles más competitivos en el segmento residencial.</w:t>
      </w:r>
    </w:p>
    <w:p w14:paraId="7CBD7CE2" w14:textId="77777777" w:rsidR="00A37447" w:rsidRPr="0036111A" w:rsidRDefault="00A37447">
      <w:pPr>
        <w:keepNext/>
        <w:keepLines/>
        <w:spacing w:before="120" w:after="20"/>
        <w:rPr>
          <w:lang w:val="es-PE"/>
        </w:rPr>
      </w:pPr>
      <w:r w:rsidRPr="0036111A">
        <w:rPr>
          <w:b/>
          <w:color w:val="00838F"/>
          <w:sz w:val="20"/>
          <w:lang w:val="es-PE"/>
        </w:rPr>
        <w:t>TARIFA RESIDENCIAL DE GAS NATURAL</w:t>
      </w:r>
    </w:p>
    <w:p w14:paraId="0C6CE6C9" w14:textId="6E7394DB" w:rsidR="00A37447" w:rsidRPr="0036111A" w:rsidRDefault="00A37447">
      <w:pPr>
        <w:keepNext/>
        <w:keepLines/>
        <w:spacing w:after="60"/>
        <w:rPr>
          <w:lang w:val="es-PE"/>
        </w:rPr>
      </w:pPr>
      <w:r w:rsidRPr="0036111A">
        <w:rPr>
          <w:i/>
          <w:sz w:val="17"/>
          <w:lang w:val="es-PE"/>
        </w:rPr>
        <w:t>US$ por millón de BTU; tarifas a diciembre de cada año</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3122"/>
        <w:gridCol w:w="692"/>
        <w:gridCol w:w="692"/>
        <w:gridCol w:w="692"/>
        <w:gridCol w:w="692"/>
        <w:gridCol w:w="692"/>
        <w:gridCol w:w="1016"/>
        <w:gridCol w:w="908"/>
      </w:tblGrid>
      <w:tr w:rsidR="00855697" w14:paraId="7EEA826A" w14:textId="77777777">
        <w:trPr>
          <w:cantSplit/>
          <w:tblHeader/>
        </w:trPr>
        <w:tc>
          <w:tcPr>
            <w:tcW w:w="3122" w:type="dxa"/>
            <w:shd w:val="clear" w:color="auto" w:fill="1F3864"/>
          </w:tcPr>
          <w:p w14:paraId="48DE6A16" w14:textId="77777777" w:rsidR="00A37447" w:rsidRDefault="00A37447">
            <w:pPr>
              <w:keepNext/>
            </w:pPr>
            <w:r>
              <w:rPr>
                <w:b/>
                <w:color w:val="FFFFFF"/>
                <w:sz w:val="17"/>
              </w:rPr>
              <w:t>Concesión</w:t>
            </w:r>
          </w:p>
        </w:tc>
        <w:tc>
          <w:tcPr>
            <w:tcW w:w="692" w:type="dxa"/>
            <w:shd w:val="clear" w:color="auto" w:fill="1F3864"/>
            <w:noWrap/>
          </w:tcPr>
          <w:p w14:paraId="1798A942" w14:textId="77777777" w:rsidR="00A37447" w:rsidRDefault="00A37447">
            <w:pPr>
              <w:keepNext/>
              <w:jc w:val="right"/>
            </w:pPr>
            <w:r>
              <w:rPr>
                <w:b/>
                <w:color w:val="FFFFFF"/>
                <w:sz w:val="17"/>
              </w:rPr>
              <w:t>2021</w:t>
            </w:r>
          </w:p>
        </w:tc>
        <w:tc>
          <w:tcPr>
            <w:tcW w:w="692" w:type="dxa"/>
            <w:shd w:val="clear" w:color="auto" w:fill="1F3864"/>
            <w:noWrap/>
          </w:tcPr>
          <w:p w14:paraId="56A20598" w14:textId="77777777" w:rsidR="00A37447" w:rsidRDefault="00A37447">
            <w:pPr>
              <w:keepNext/>
              <w:jc w:val="right"/>
            </w:pPr>
            <w:r>
              <w:rPr>
                <w:b/>
                <w:color w:val="FFFFFF"/>
                <w:sz w:val="17"/>
              </w:rPr>
              <w:t>2022</w:t>
            </w:r>
          </w:p>
        </w:tc>
        <w:tc>
          <w:tcPr>
            <w:tcW w:w="692" w:type="dxa"/>
            <w:shd w:val="clear" w:color="auto" w:fill="1F3864"/>
            <w:noWrap/>
          </w:tcPr>
          <w:p w14:paraId="20BD7009" w14:textId="77777777" w:rsidR="00A37447" w:rsidRDefault="00A37447">
            <w:pPr>
              <w:keepNext/>
              <w:jc w:val="right"/>
            </w:pPr>
            <w:r>
              <w:rPr>
                <w:b/>
                <w:color w:val="FFFFFF"/>
                <w:sz w:val="17"/>
              </w:rPr>
              <w:t>2023</w:t>
            </w:r>
          </w:p>
        </w:tc>
        <w:tc>
          <w:tcPr>
            <w:tcW w:w="692" w:type="dxa"/>
            <w:shd w:val="clear" w:color="auto" w:fill="1F3864"/>
            <w:noWrap/>
          </w:tcPr>
          <w:p w14:paraId="1E7FDE9D" w14:textId="77777777" w:rsidR="00A37447" w:rsidRDefault="00A37447">
            <w:pPr>
              <w:keepNext/>
              <w:jc w:val="right"/>
            </w:pPr>
            <w:r>
              <w:rPr>
                <w:b/>
                <w:color w:val="FFFFFF"/>
                <w:sz w:val="17"/>
              </w:rPr>
              <w:t>2024</w:t>
            </w:r>
          </w:p>
        </w:tc>
        <w:tc>
          <w:tcPr>
            <w:tcW w:w="692" w:type="dxa"/>
            <w:shd w:val="clear" w:color="auto" w:fill="1F3864"/>
            <w:noWrap/>
          </w:tcPr>
          <w:p w14:paraId="2A8C029B" w14:textId="77777777" w:rsidR="00A37447" w:rsidRDefault="00A37447">
            <w:pPr>
              <w:keepNext/>
              <w:jc w:val="right"/>
            </w:pPr>
            <w:r>
              <w:rPr>
                <w:b/>
                <w:color w:val="FFFFFF"/>
                <w:sz w:val="17"/>
              </w:rPr>
              <w:t>2025</w:t>
            </w:r>
          </w:p>
        </w:tc>
        <w:tc>
          <w:tcPr>
            <w:tcW w:w="1016" w:type="dxa"/>
            <w:shd w:val="clear" w:color="auto" w:fill="1F3864"/>
          </w:tcPr>
          <w:p w14:paraId="584CB86B" w14:textId="77777777" w:rsidR="00A37447" w:rsidRDefault="00A37447">
            <w:pPr>
              <w:keepNext/>
              <w:jc w:val="right"/>
            </w:pPr>
            <w:r>
              <w:rPr>
                <w:b/>
                <w:color w:val="FFFFFF"/>
                <w:sz w:val="17"/>
              </w:rPr>
              <w:t>Var. % 2025 vs 2024</w:t>
            </w:r>
          </w:p>
        </w:tc>
        <w:tc>
          <w:tcPr>
            <w:tcW w:w="908" w:type="dxa"/>
            <w:shd w:val="clear" w:color="auto" w:fill="1F3864"/>
          </w:tcPr>
          <w:p w14:paraId="124BBEFC" w14:textId="77777777" w:rsidR="00A37447" w:rsidRDefault="00A37447">
            <w:pPr>
              <w:keepNext/>
              <w:jc w:val="right"/>
            </w:pPr>
            <w:r>
              <w:rPr>
                <w:b/>
                <w:color w:val="FFFFFF"/>
                <w:sz w:val="17"/>
              </w:rPr>
              <w:t>TACC 2021-2025</w:t>
            </w:r>
          </w:p>
        </w:tc>
      </w:tr>
      <w:tr w:rsidR="00855697" w14:paraId="74D51671" w14:textId="77777777">
        <w:trPr>
          <w:cantSplit/>
        </w:trPr>
        <w:tc>
          <w:tcPr>
            <w:tcW w:w="3122" w:type="dxa"/>
            <w:noWrap/>
          </w:tcPr>
          <w:p w14:paraId="059A178B" w14:textId="77777777" w:rsidR="00A37447" w:rsidRDefault="00A37447">
            <w:pPr>
              <w:keepNext/>
              <w:spacing w:after="20"/>
            </w:pPr>
            <w:r>
              <w:rPr>
                <w:sz w:val="17"/>
              </w:rPr>
              <w:t>Cálidda</w:t>
            </w:r>
          </w:p>
        </w:tc>
        <w:tc>
          <w:tcPr>
            <w:tcW w:w="692" w:type="dxa"/>
            <w:noWrap/>
          </w:tcPr>
          <w:p w14:paraId="0385ECDE" w14:textId="77777777" w:rsidR="00A37447" w:rsidRDefault="00A37447">
            <w:pPr>
              <w:keepNext/>
              <w:spacing w:after="20"/>
              <w:jc w:val="right"/>
            </w:pPr>
            <w:r>
              <w:rPr>
                <w:sz w:val="16"/>
              </w:rPr>
              <w:t>12,8</w:t>
            </w:r>
          </w:p>
        </w:tc>
        <w:tc>
          <w:tcPr>
            <w:tcW w:w="692" w:type="dxa"/>
            <w:noWrap/>
          </w:tcPr>
          <w:p w14:paraId="43DCAB0F" w14:textId="77777777" w:rsidR="00A37447" w:rsidRDefault="00A37447">
            <w:pPr>
              <w:keepNext/>
              <w:spacing w:after="20"/>
              <w:jc w:val="right"/>
            </w:pPr>
            <w:r>
              <w:rPr>
                <w:sz w:val="16"/>
              </w:rPr>
              <w:t>12,0</w:t>
            </w:r>
          </w:p>
        </w:tc>
        <w:tc>
          <w:tcPr>
            <w:tcW w:w="692" w:type="dxa"/>
            <w:noWrap/>
          </w:tcPr>
          <w:p w14:paraId="039B30F3" w14:textId="77777777" w:rsidR="00A37447" w:rsidRDefault="00A37447">
            <w:pPr>
              <w:keepNext/>
              <w:spacing w:after="20"/>
              <w:jc w:val="right"/>
            </w:pPr>
            <w:r>
              <w:rPr>
                <w:sz w:val="16"/>
              </w:rPr>
              <w:t>12,3</w:t>
            </w:r>
          </w:p>
        </w:tc>
        <w:tc>
          <w:tcPr>
            <w:tcW w:w="692" w:type="dxa"/>
            <w:noWrap/>
          </w:tcPr>
          <w:p w14:paraId="73B18D3A" w14:textId="77777777" w:rsidR="00A37447" w:rsidRDefault="00A37447">
            <w:pPr>
              <w:keepNext/>
              <w:spacing w:after="20"/>
              <w:jc w:val="right"/>
            </w:pPr>
            <w:r>
              <w:rPr>
                <w:sz w:val="16"/>
              </w:rPr>
              <w:t>12,6</w:t>
            </w:r>
          </w:p>
        </w:tc>
        <w:tc>
          <w:tcPr>
            <w:tcW w:w="692" w:type="dxa"/>
            <w:noWrap/>
          </w:tcPr>
          <w:p w14:paraId="7D83D7B0" w14:textId="77777777" w:rsidR="00A37447" w:rsidRDefault="00A37447">
            <w:pPr>
              <w:keepNext/>
              <w:spacing w:after="20"/>
              <w:jc w:val="right"/>
            </w:pPr>
            <w:r>
              <w:rPr>
                <w:sz w:val="16"/>
              </w:rPr>
              <w:t>12,4</w:t>
            </w:r>
          </w:p>
        </w:tc>
        <w:tc>
          <w:tcPr>
            <w:tcW w:w="1016" w:type="dxa"/>
            <w:noWrap/>
          </w:tcPr>
          <w:p w14:paraId="45F67140" w14:textId="77777777" w:rsidR="00A37447" w:rsidRDefault="00A37447">
            <w:pPr>
              <w:keepNext/>
              <w:spacing w:after="20"/>
              <w:jc w:val="right"/>
            </w:pPr>
            <w:r>
              <w:rPr>
                <w:sz w:val="16"/>
              </w:rPr>
              <w:t>-1,3 %</w:t>
            </w:r>
          </w:p>
        </w:tc>
        <w:tc>
          <w:tcPr>
            <w:tcW w:w="908" w:type="dxa"/>
            <w:noWrap/>
          </w:tcPr>
          <w:p w14:paraId="1A6376E6" w14:textId="77777777" w:rsidR="00A37447" w:rsidRDefault="00A37447">
            <w:pPr>
              <w:keepNext/>
              <w:spacing w:after="20"/>
              <w:jc w:val="right"/>
            </w:pPr>
            <w:r>
              <w:rPr>
                <w:sz w:val="16"/>
              </w:rPr>
              <w:t>-0,8 %</w:t>
            </w:r>
          </w:p>
        </w:tc>
      </w:tr>
      <w:tr w:rsidR="00855697" w14:paraId="0698239C" w14:textId="77777777">
        <w:trPr>
          <w:cantSplit/>
        </w:trPr>
        <w:tc>
          <w:tcPr>
            <w:tcW w:w="3122" w:type="dxa"/>
            <w:noWrap/>
          </w:tcPr>
          <w:p w14:paraId="2DCAD26E" w14:textId="77777777" w:rsidR="00A37447" w:rsidRDefault="00A37447">
            <w:pPr>
              <w:keepNext/>
              <w:spacing w:after="20"/>
            </w:pPr>
            <w:r>
              <w:rPr>
                <w:sz w:val="17"/>
              </w:rPr>
              <w:t>Contugas</w:t>
            </w:r>
          </w:p>
        </w:tc>
        <w:tc>
          <w:tcPr>
            <w:tcW w:w="692" w:type="dxa"/>
            <w:noWrap/>
          </w:tcPr>
          <w:p w14:paraId="58F796A8" w14:textId="77777777" w:rsidR="00A37447" w:rsidRDefault="00A37447">
            <w:pPr>
              <w:keepNext/>
              <w:spacing w:after="20"/>
              <w:jc w:val="right"/>
            </w:pPr>
            <w:r>
              <w:rPr>
                <w:sz w:val="16"/>
              </w:rPr>
              <w:t>10,8</w:t>
            </w:r>
          </w:p>
        </w:tc>
        <w:tc>
          <w:tcPr>
            <w:tcW w:w="692" w:type="dxa"/>
            <w:noWrap/>
          </w:tcPr>
          <w:p w14:paraId="2D5B9CEC" w14:textId="77777777" w:rsidR="00A37447" w:rsidRDefault="00A37447">
            <w:pPr>
              <w:keepNext/>
              <w:spacing w:after="20"/>
              <w:jc w:val="right"/>
            </w:pPr>
            <w:r>
              <w:rPr>
                <w:sz w:val="16"/>
              </w:rPr>
              <w:t>11,7</w:t>
            </w:r>
          </w:p>
        </w:tc>
        <w:tc>
          <w:tcPr>
            <w:tcW w:w="692" w:type="dxa"/>
            <w:noWrap/>
          </w:tcPr>
          <w:p w14:paraId="2E9FE72C" w14:textId="77777777" w:rsidR="00A37447" w:rsidRDefault="00A37447">
            <w:pPr>
              <w:keepNext/>
              <w:spacing w:after="20"/>
              <w:jc w:val="right"/>
            </w:pPr>
            <w:r>
              <w:rPr>
                <w:sz w:val="16"/>
              </w:rPr>
              <w:t>12,0</w:t>
            </w:r>
          </w:p>
        </w:tc>
        <w:tc>
          <w:tcPr>
            <w:tcW w:w="692" w:type="dxa"/>
            <w:noWrap/>
          </w:tcPr>
          <w:p w14:paraId="477449DE" w14:textId="77777777" w:rsidR="00A37447" w:rsidRDefault="00A37447">
            <w:pPr>
              <w:keepNext/>
              <w:spacing w:after="20"/>
              <w:jc w:val="right"/>
            </w:pPr>
            <w:r>
              <w:rPr>
                <w:sz w:val="16"/>
              </w:rPr>
              <w:t>12,3</w:t>
            </w:r>
          </w:p>
        </w:tc>
        <w:tc>
          <w:tcPr>
            <w:tcW w:w="692" w:type="dxa"/>
            <w:noWrap/>
          </w:tcPr>
          <w:p w14:paraId="53429D0B" w14:textId="77777777" w:rsidR="00A37447" w:rsidRDefault="00A37447">
            <w:pPr>
              <w:keepNext/>
              <w:spacing w:after="20"/>
              <w:jc w:val="right"/>
            </w:pPr>
            <w:r>
              <w:rPr>
                <w:sz w:val="16"/>
              </w:rPr>
              <w:t>12,7</w:t>
            </w:r>
          </w:p>
        </w:tc>
        <w:tc>
          <w:tcPr>
            <w:tcW w:w="1016" w:type="dxa"/>
            <w:noWrap/>
          </w:tcPr>
          <w:p w14:paraId="3D8F8F34" w14:textId="77777777" w:rsidR="00A37447" w:rsidRDefault="00A37447">
            <w:pPr>
              <w:keepNext/>
              <w:spacing w:after="20"/>
              <w:jc w:val="right"/>
            </w:pPr>
            <w:r>
              <w:rPr>
                <w:sz w:val="16"/>
              </w:rPr>
              <w:t>3,7 %</w:t>
            </w:r>
          </w:p>
        </w:tc>
        <w:tc>
          <w:tcPr>
            <w:tcW w:w="908" w:type="dxa"/>
            <w:noWrap/>
          </w:tcPr>
          <w:p w14:paraId="4775A06C" w14:textId="77777777" w:rsidR="00A37447" w:rsidRDefault="00A37447">
            <w:pPr>
              <w:keepNext/>
              <w:spacing w:after="20"/>
              <w:jc w:val="right"/>
            </w:pPr>
            <w:r>
              <w:rPr>
                <w:sz w:val="16"/>
              </w:rPr>
              <w:t>4,2 %</w:t>
            </w:r>
          </w:p>
        </w:tc>
      </w:tr>
      <w:tr w:rsidR="00855697" w14:paraId="1A979F28" w14:textId="77777777">
        <w:trPr>
          <w:cantSplit/>
        </w:trPr>
        <w:tc>
          <w:tcPr>
            <w:tcW w:w="3122" w:type="dxa"/>
            <w:noWrap/>
          </w:tcPr>
          <w:p w14:paraId="159AB905" w14:textId="77777777" w:rsidR="00A37447" w:rsidRDefault="00A37447">
            <w:pPr>
              <w:keepNext/>
              <w:spacing w:after="20"/>
            </w:pPr>
            <w:r>
              <w:rPr>
                <w:sz w:val="17"/>
              </w:rPr>
              <w:t>Petroperú</w:t>
            </w:r>
          </w:p>
        </w:tc>
        <w:tc>
          <w:tcPr>
            <w:tcW w:w="692" w:type="dxa"/>
            <w:noWrap/>
          </w:tcPr>
          <w:p w14:paraId="6BB8A1C5" w14:textId="77777777" w:rsidR="00A37447" w:rsidRDefault="00A37447">
            <w:pPr>
              <w:keepNext/>
              <w:spacing w:after="20"/>
              <w:jc w:val="right"/>
            </w:pPr>
            <w:r>
              <w:rPr>
                <w:sz w:val="16"/>
              </w:rPr>
              <w:t>19,4</w:t>
            </w:r>
          </w:p>
        </w:tc>
        <w:tc>
          <w:tcPr>
            <w:tcW w:w="692" w:type="dxa"/>
            <w:noWrap/>
          </w:tcPr>
          <w:p w14:paraId="2523022C" w14:textId="77777777" w:rsidR="00A37447" w:rsidRDefault="00A37447">
            <w:pPr>
              <w:keepNext/>
              <w:spacing w:after="20"/>
              <w:jc w:val="right"/>
            </w:pPr>
            <w:r>
              <w:rPr>
                <w:sz w:val="16"/>
              </w:rPr>
              <w:t>22,6</w:t>
            </w:r>
          </w:p>
        </w:tc>
        <w:tc>
          <w:tcPr>
            <w:tcW w:w="692" w:type="dxa"/>
            <w:noWrap/>
          </w:tcPr>
          <w:p w14:paraId="4B171259" w14:textId="1CEA313D" w:rsidR="00A37447" w:rsidRDefault="00A37447">
            <w:pPr>
              <w:keepNext/>
              <w:spacing w:after="20"/>
              <w:jc w:val="right"/>
            </w:pPr>
            <w:r>
              <w:rPr>
                <w:sz w:val="16"/>
              </w:rPr>
              <w:t>24,2</w:t>
            </w:r>
          </w:p>
        </w:tc>
        <w:tc>
          <w:tcPr>
            <w:tcW w:w="692" w:type="dxa"/>
            <w:noWrap/>
          </w:tcPr>
          <w:p w14:paraId="4F27BB4B" w14:textId="77777777" w:rsidR="00A37447" w:rsidRDefault="00A37447">
            <w:pPr>
              <w:keepNext/>
              <w:spacing w:after="20"/>
              <w:jc w:val="right"/>
            </w:pPr>
            <w:r>
              <w:rPr>
                <w:sz w:val="16"/>
              </w:rPr>
              <w:t>23,4</w:t>
            </w:r>
          </w:p>
        </w:tc>
        <w:tc>
          <w:tcPr>
            <w:tcW w:w="692" w:type="dxa"/>
            <w:noWrap/>
          </w:tcPr>
          <w:p w14:paraId="424919B7" w14:textId="77777777" w:rsidR="00A37447" w:rsidRDefault="00A37447">
            <w:pPr>
              <w:keepNext/>
              <w:spacing w:after="20"/>
              <w:jc w:val="right"/>
            </w:pPr>
            <w:r>
              <w:rPr>
                <w:sz w:val="16"/>
              </w:rPr>
              <w:t>23,7</w:t>
            </w:r>
          </w:p>
        </w:tc>
        <w:tc>
          <w:tcPr>
            <w:tcW w:w="1016" w:type="dxa"/>
            <w:noWrap/>
          </w:tcPr>
          <w:p w14:paraId="096C69C9" w14:textId="77777777" w:rsidR="00A37447" w:rsidRDefault="00A37447">
            <w:pPr>
              <w:keepNext/>
              <w:spacing w:after="20"/>
              <w:jc w:val="right"/>
            </w:pPr>
            <w:r>
              <w:rPr>
                <w:sz w:val="16"/>
              </w:rPr>
              <w:t>1,3 %</w:t>
            </w:r>
          </w:p>
        </w:tc>
        <w:tc>
          <w:tcPr>
            <w:tcW w:w="908" w:type="dxa"/>
            <w:noWrap/>
          </w:tcPr>
          <w:p w14:paraId="1F22F181" w14:textId="77777777" w:rsidR="00A37447" w:rsidRDefault="00A37447">
            <w:pPr>
              <w:keepNext/>
              <w:spacing w:after="20"/>
              <w:jc w:val="right"/>
            </w:pPr>
            <w:r>
              <w:rPr>
                <w:sz w:val="16"/>
              </w:rPr>
              <w:t>5,2 %</w:t>
            </w:r>
          </w:p>
        </w:tc>
      </w:tr>
      <w:tr w:rsidR="00855697" w14:paraId="4F448A6F" w14:textId="77777777">
        <w:trPr>
          <w:cantSplit/>
        </w:trPr>
        <w:tc>
          <w:tcPr>
            <w:tcW w:w="3122" w:type="dxa"/>
          </w:tcPr>
          <w:p w14:paraId="45C18B56" w14:textId="77777777" w:rsidR="00A37447" w:rsidRDefault="00A37447">
            <w:pPr>
              <w:keepNext/>
              <w:spacing w:after="20"/>
            </w:pPr>
            <w:r>
              <w:rPr>
                <w:sz w:val="17"/>
              </w:rPr>
              <w:t>Quavii – Gases del Pacífico</w:t>
            </w:r>
          </w:p>
        </w:tc>
        <w:tc>
          <w:tcPr>
            <w:tcW w:w="692" w:type="dxa"/>
            <w:noWrap/>
          </w:tcPr>
          <w:p w14:paraId="2D0B38DC" w14:textId="77777777" w:rsidR="00A37447" w:rsidRDefault="00A37447">
            <w:pPr>
              <w:keepNext/>
              <w:spacing w:after="20"/>
              <w:jc w:val="right"/>
            </w:pPr>
            <w:r>
              <w:rPr>
                <w:sz w:val="16"/>
              </w:rPr>
              <w:t>17,0</w:t>
            </w:r>
          </w:p>
        </w:tc>
        <w:tc>
          <w:tcPr>
            <w:tcW w:w="692" w:type="dxa"/>
            <w:noWrap/>
          </w:tcPr>
          <w:p w14:paraId="229128DD" w14:textId="77777777" w:rsidR="00A37447" w:rsidRDefault="00A37447">
            <w:pPr>
              <w:keepNext/>
              <w:spacing w:after="20"/>
              <w:jc w:val="right"/>
            </w:pPr>
            <w:r>
              <w:rPr>
                <w:sz w:val="16"/>
              </w:rPr>
              <w:t>19,7</w:t>
            </w:r>
          </w:p>
        </w:tc>
        <w:tc>
          <w:tcPr>
            <w:tcW w:w="692" w:type="dxa"/>
            <w:noWrap/>
          </w:tcPr>
          <w:p w14:paraId="35D97111" w14:textId="45E9F629" w:rsidR="00A37447" w:rsidRDefault="00A37447">
            <w:pPr>
              <w:keepNext/>
              <w:spacing w:after="20"/>
              <w:jc w:val="right"/>
            </w:pPr>
            <w:r>
              <w:rPr>
                <w:sz w:val="16"/>
              </w:rPr>
              <w:t>21,1</w:t>
            </w:r>
          </w:p>
        </w:tc>
        <w:tc>
          <w:tcPr>
            <w:tcW w:w="692" w:type="dxa"/>
            <w:noWrap/>
          </w:tcPr>
          <w:p w14:paraId="71D3574A" w14:textId="77777777" w:rsidR="00A37447" w:rsidRDefault="00A37447">
            <w:pPr>
              <w:keepNext/>
              <w:spacing w:after="20"/>
              <w:jc w:val="right"/>
            </w:pPr>
            <w:r>
              <w:rPr>
                <w:sz w:val="16"/>
              </w:rPr>
              <w:t>20,5</w:t>
            </w:r>
          </w:p>
        </w:tc>
        <w:tc>
          <w:tcPr>
            <w:tcW w:w="692" w:type="dxa"/>
            <w:noWrap/>
          </w:tcPr>
          <w:p w14:paraId="53C8A1FA" w14:textId="77777777" w:rsidR="00A37447" w:rsidRDefault="00A37447">
            <w:pPr>
              <w:keepNext/>
              <w:spacing w:after="20"/>
              <w:jc w:val="right"/>
            </w:pPr>
            <w:r>
              <w:rPr>
                <w:sz w:val="16"/>
              </w:rPr>
              <w:t>15,0</w:t>
            </w:r>
          </w:p>
        </w:tc>
        <w:tc>
          <w:tcPr>
            <w:tcW w:w="1016" w:type="dxa"/>
            <w:noWrap/>
          </w:tcPr>
          <w:p w14:paraId="52FAC378" w14:textId="77777777" w:rsidR="00A37447" w:rsidRDefault="00A37447">
            <w:pPr>
              <w:keepNext/>
              <w:spacing w:after="20"/>
              <w:jc w:val="right"/>
            </w:pPr>
            <w:r>
              <w:rPr>
                <w:sz w:val="16"/>
              </w:rPr>
              <w:t>-26,7 %</w:t>
            </w:r>
          </w:p>
        </w:tc>
        <w:tc>
          <w:tcPr>
            <w:tcW w:w="908" w:type="dxa"/>
            <w:noWrap/>
          </w:tcPr>
          <w:p w14:paraId="7929AFA7" w14:textId="77777777" w:rsidR="00A37447" w:rsidRDefault="00A37447">
            <w:pPr>
              <w:keepNext/>
              <w:spacing w:after="20"/>
              <w:jc w:val="right"/>
            </w:pPr>
            <w:r>
              <w:rPr>
                <w:sz w:val="16"/>
              </w:rPr>
              <w:t>-3,0 %</w:t>
            </w:r>
          </w:p>
        </w:tc>
      </w:tr>
      <w:tr w:rsidR="00855697" w14:paraId="064D3A6E" w14:textId="77777777">
        <w:trPr>
          <w:cantSplit/>
        </w:trPr>
        <w:tc>
          <w:tcPr>
            <w:tcW w:w="3122" w:type="dxa"/>
          </w:tcPr>
          <w:p w14:paraId="137FAC67" w14:textId="77777777" w:rsidR="00A37447" w:rsidRPr="003E0D14" w:rsidRDefault="00A37447">
            <w:pPr>
              <w:keepNext/>
              <w:spacing w:after="20"/>
              <w:rPr>
                <w:lang w:val="es-PE"/>
              </w:rPr>
            </w:pPr>
            <w:r w:rsidRPr="003E0D14">
              <w:rPr>
                <w:sz w:val="17"/>
                <w:lang w:val="es-PE"/>
              </w:rPr>
              <w:t>Quavii – Gases del Norte del Perú</w:t>
            </w:r>
          </w:p>
        </w:tc>
        <w:tc>
          <w:tcPr>
            <w:tcW w:w="692" w:type="dxa"/>
            <w:noWrap/>
          </w:tcPr>
          <w:p w14:paraId="2405AA5C" w14:textId="77777777" w:rsidR="00A37447" w:rsidRDefault="00A37447">
            <w:pPr>
              <w:keepNext/>
              <w:spacing w:after="20"/>
              <w:jc w:val="right"/>
            </w:pPr>
            <w:r>
              <w:rPr>
                <w:sz w:val="16"/>
              </w:rPr>
              <w:t>12,6</w:t>
            </w:r>
          </w:p>
        </w:tc>
        <w:tc>
          <w:tcPr>
            <w:tcW w:w="692" w:type="dxa"/>
            <w:noWrap/>
          </w:tcPr>
          <w:p w14:paraId="08655515" w14:textId="77777777" w:rsidR="00A37447" w:rsidRDefault="00A37447">
            <w:pPr>
              <w:keepNext/>
              <w:spacing w:after="20"/>
              <w:jc w:val="right"/>
            </w:pPr>
            <w:r>
              <w:rPr>
                <w:sz w:val="16"/>
              </w:rPr>
              <w:t>12,3</w:t>
            </w:r>
          </w:p>
        </w:tc>
        <w:tc>
          <w:tcPr>
            <w:tcW w:w="692" w:type="dxa"/>
            <w:noWrap/>
          </w:tcPr>
          <w:p w14:paraId="327DA8F2" w14:textId="77777777" w:rsidR="00A37447" w:rsidRDefault="00A37447">
            <w:pPr>
              <w:keepNext/>
              <w:spacing w:after="20"/>
              <w:jc w:val="right"/>
            </w:pPr>
            <w:r>
              <w:rPr>
                <w:sz w:val="16"/>
              </w:rPr>
              <w:t>12,4</w:t>
            </w:r>
          </w:p>
        </w:tc>
        <w:tc>
          <w:tcPr>
            <w:tcW w:w="692" w:type="dxa"/>
            <w:noWrap/>
          </w:tcPr>
          <w:p w14:paraId="19C72D19" w14:textId="77777777" w:rsidR="00A37447" w:rsidRDefault="00A37447">
            <w:pPr>
              <w:keepNext/>
              <w:spacing w:after="20"/>
              <w:jc w:val="right"/>
            </w:pPr>
            <w:r>
              <w:rPr>
                <w:sz w:val="16"/>
              </w:rPr>
              <w:t>11,6</w:t>
            </w:r>
          </w:p>
        </w:tc>
        <w:tc>
          <w:tcPr>
            <w:tcW w:w="692" w:type="dxa"/>
            <w:noWrap/>
          </w:tcPr>
          <w:p w14:paraId="0919E21D" w14:textId="77777777" w:rsidR="00A37447" w:rsidRDefault="00A37447">
            <w:pPr>
              <w:keepNext/>
              <w:spacing w:after="20"/>
              <w:jc w:val="right"/>
            </w:pPr>
            <w:r>
              <w:rPr>
                <w:sz w:val="16"/>
              </w:rPr>
              <w:t>11,3</w:t>
            </w:r>
          </w:p>
        </w:tc>
        <w:tc>
          <w:tcPr>
            <w:tcW w:w="1016" w:type="dxa"/>
            <w:noWrap/>
          </w:tcPr>
          <w:p w14:paraId="410437B2" w14:textId="77777777" w:rsidR="00A37447" w:rsidRDefault="00A37447">
            <w:pPr>
              <w:keepNext/>
              <w:spacing w:after="20"/>
              <w:jc w:val="right"/>
            </w:pPr>
            <w:r>
              <w:rPr>
                <w:sz w:val="16"/>
              </w:rPr>
              <w:t>-2,3 %</w:t>
            </w:r>
          </w:p>
        </w:tc>
        <w:tc>
          <w:tcPr>
            <w:tcW w:w="908" w:type="dxa"/>
            <w:noWrap/>
          </w:tcPr>
          <w:p w14:paraId="59D9743D" w14:textId="77777777" w:rsidR="00A37447" w:rsidRDefault="00A37447">
            <w:pPr>
              <w:keepNext/>
              <w:spacing w:after="20"/>
              <w:jc w:val="right"/>
            </w:pPr>
            <w:r>
              <w:rPr>
                <w:sz w:val="16"/>
              </w:rPr>
              <w:t>-2,6 %</w:t>
            </w:r>
          </w:p>
        </w:tc>
      </w:tr>
    </w:tbl>
    <w:p w14:paraId="5BC74183" w14:textId="77777777" w:rsidR="00A37447" w:rsidRDefault="00A37447">
      <w:pPr>
        <w:keepNext/>
        <w:keepLines/>
        <w:spacing w:before="40"/>
        <w:jc w:val="right"/>
      </w:pPr>
      <w:r>
        <w:rPr>
          <w:b/>
          <w:color w:val="404040"/>
          <w:sz w:val="15"/>
        </w:rPr>
        <w:t>FUENTE: Osinergmin, APOYO Consultoría</w:t>
      </w:r>
    </w:p>
    <w:p w14:paraId="0629173C" w14:textId="77777777" w:rsidR="00A37447" w:rsidRDefault="00A37447">
      <w:pPr>
        <w:keepNext/>
        <w:keepLines/>
        <w:spacing w:before="120" w:after="20"/>
      </w:pPr>
      <w:r>
        <w:rPr>
          <w:b/>
          <w:color w:val="00838F"/>
          <w:sz w:val="20"/>
        </w:rPr>
        <w:t>TARIFA INDUSTRIAL DE GAS NATURAL</w:t>
      </w:r>
    </w:p>
    <w:p w14:paraId="716D07B3" w14:textId="31627805" w:rsidR="00A37447" w:rsidRPr="0036111A" w:rsidRDefault="00A37447">
      <w:pPr>
        <w:keepNext/>
        <w:keepLines/>
        <w:spacing w:after="60"/>
        <w:rPr>
          <w:lang w:val="es-PE"/>
        </w:rPr>
      </w:pPr>
      <w:r w:rsidRPr="0036111A">
        <w:rPr>
          <w:i/>
          <w:sz w:val="17"/>
          <w:lang w:val="es-PE"/>
        </w:rPr>
        <w:t>US$ por millón de BTU; tarifas a diciembre de cada año</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3230"/>
        <w:gridCol w:w="692"/>
        <w:gridCol w:w="692"/>
        <w:gridCol w:w="692"/>
        <w:gridCol w:w="692"/>
        <w:gridCol w:w="692"/>
        <w:gridCol w:w="908"/>
        <w:gridCol w:w="908"/>
      </w:tblGrid>
      <w:tr w:rsidR="00855697" w14:paraId="5BED96EF" w14:textId="77777777">
        <w:trPr>
          <w:cantSplit/>
          <w:tblHeader/>
        </w:trPr>
        <w:tc>
          <w:tcPr>
            <w:tcW w:w="3230" w:type="dxa"/>
            <w:shd w:val="clear" w:color="auto" w:fill="1F3864"/>
          </w:tcPr>
          <w:p w14:paraId="7ECD52FD" w14:textId="77777777" w:rsidR="00A37447" w:rsidRDefault="00A37447">
            <w:pPr>
              <w:keepNext/>
            </w:pPr>
            <w:r>
              <w:rPr>
                <w:b/>
                <w:color w:val="FFFFFF"/>
                <w:sz w:val="17"/>
              </w:rPr>
              <w:t>Concesión</w:t>
            </w:r>
          </w:p>
        </w:tc>
        <w:tc>
          <w:tcPr>
            <w:tcW w:w="692" w:type="dxa"/>
            <w:shd w:val="clear" w:color="auto" w:fill="1F3864"/>
            <w:noWrap/>
          </w:tcPr>
          <w:p w14:paraId="25F5A295" w14:textId="77777777" w:rsidR="00A37447" w:rsidRDefault="00A37447">
            <w:pPr>
              <w:keepNext/>
              <w:jc w:val="right"/>
            </w:pPr>
            <w:r>
              <w:rPr>
                <w:b/>
                <w:color w:val="FFFFFF"/>
                <w:sz w:val="17"/>
              </w:rPr>
              <w:t>2021</w:t>
            </w:r>
          </w:p>
        </w:tc>
        <w:tc>
          <w:tcPr>
            <w:tcW w:w="692" w:type="dxa"/>
            <w:shd w:val="clear" w:color="auto" w:fill="1F3864"/>
            <w:noWrap/>
          </w:tcPr>
          <w:p w14:paraId="5B6AEC8B" w14:textId="4EBFCABE" w:rsidR="00A37447" w:rsidRDefault="00A37447">
            <w:pPr>
              <w:keepNext/>
              <w:jc w:val="right"/>
            </w:pPr>
            <w:r>
              <w:rPr>
                <w:b/>
                <w:color w:val="FFFFFF"/>
                <w:sz w:val="17"/>
              </w:rPr>
              <w:t>2022</w:t>
            </w:r>
          </w:p>
        </w:tc>
        <w:tc>
          <w:tcPr>
            <w:tcW w:w="692" w:type="dxa"/>
            <w:shd w:val="clear" w:color="auto" w:fill="1F3864"/>
            <w:noWrap/>
          </w:tcPr>
          <w:p w14:paraId="3001761A" w14:textId="77777777" w:rsidR="00A37447" w:rsidRDefault="00A37447">
            <w:pPr>
              <w:keepNext/>
              <w:jc w:val="right"/>
            </w:pPr>
            <w:r>
              <w:rPr>
                <w:b/>
                <w:color w:val="FFFFFF"/>
                <w:sz w:val="17"/>
              </w:rPr>
              <w:t>2023</w:t>
            </w:r>
          </w:p>
        </w:tc>
        <w:tc>
          <w:tcPr>
            <w:tcW w:w="692" w:type="dxa"/>
            <w:shd w:val="clear" w:color="auto" w:fill="1F3864"/>
            <w:noWrap/>
          </w:tcPr>
          <w:p w14:paraId="431C829C" w14:textId="77777777" w:rsidR="00A37447" w:rsidRDefault="00A37447">
            <w:pPr>
              <w:keepNext/>
              <w:jc w:val="right"/>
            </w:pPr>
            <w:r>
              <w:rPr>
                <w:b/>
                <w:color w:val="FFFFFF"/>
                <w:sz w:val="17"/>
              </w:rPr>
              <w:t>2024</w:t>
            </w:r>
          </w:p>
        </w:tc>
        <w:tc>
          <w:tcPr>
            <w:tcW w:w="692" w:type="dxa"/>
            <w:shd w:val="clear" w:color="auto" w:fill="1F3864"/>
            <w:noWrap/>
          </w:tcPr>
          <w:p w14:paraId="37CB793B" w14:textId="77777777" w:rsidR="00A37447" w:rsidRDefault="00A37447">
            <w:pPr>
              <w:keepNext/>
              <w:jc w:val="right"/>
            </w:pPr>
            <w:r>
              <w:rPr>
                <w:b/>
                <w:color w:val="FFFFFF"/>
                <w:sz w:val="17"/>
              </w:rPr>
              <w:t>2025</w:t>
            </w:r>
          </w:p>
        </w:tc>
        <w:tc>
          <w:tcPr>
            <w:tcW w:w="908" w:type="dxa"/>
            <w:shd w:val="clear" w:color="auto" w:fill="1F3864"/>
          </w:tcPr>
          <w:p w14:paraId="13F6AF1E" w14:textId="77777777" w:rsidR="00A37447" w:rsidRDefault="00A37447">
            <w:pPr>
              <w:keepNext/>
              <w:jc w:val="right"/>
            </w:pPr>
            <w:r>
              <w:rPr>
                <w:b/>
                <w:color w:val="FFFFFF"/>
                <w:sz w:val="17"/>
              </w:rPr>
              <w:t>Var. % 2025 vs 2024</w:t>
            </w:r>
          </w:p>
        </w:tc>
        <w:tc>
          <w:tcPr>
            <w:tcW w:w="908" w:type="dxa"/>
            <w:shd w:val="clear" w:color="auto" w:fill="1F3864"/>
          </w:tcPr>
          <w:p w14:paraId="79A8CDD6" w14:textId="77777777" w:rsidR="00A37447" w:rsidRDefault="00A37447">
            <w:pPr>
              <w:keepNext/>
              <w:jc w:val="right"/>
            </w:pPr>
            <w:r>
              <w:rPr>
                <w:b/>
                <w:color w:val="FFFFFF"/>
                <w:sz w:val="17"/>
              </w:rPr>
              <w:t>TACC 2021-2025</w:t>
            </w:r>
          </w:p>
        </w:tc>
      </w:tr>
      <w:tr w:rsidR="00855697" w14:paraId="3089DEE8" w14:textId="77777777">
        <w:trPr>
          <w:cantSplit/>
        </w:trPr>
        <w:tc>
          <w:tcPr>
            <w:tcW w:w="3230" w:type="dxa"/>
            <w:noWrap/>
          </w:tcPr>
          <w:p w14:paraId="44C422F8" w14:textId="77777777" w:rsidR="00A37447" w:rsidRDefault="00A37447">
            <w:pPr>
              <w:keepNext/>
              <w:spacing w:after="20"/>
            </w:pPr>
            <w:r>
              <w:rPr>
                <w:sz w:val="17"/>
              </w:rPr>
              <w:t>Cálidda</w:t>
            </w:r>
          </w:p>
        </w:tc>
        <w:tc>
          <w:tcPr>
            <w:tcW w:w="692" w:type="dxa"/>
            <w:noWrap/>
          </w:tcPr>
          <w:p w14:paraId="337E5D42" w14:textId="77777777" w:rsidR="00A37447" w:rsidRDefault="00A37447">
            <w:pPr>
              <w:keepNext/>
              <w:spacing w:after="20"/>
              <w:jc w:val="right"/>
            </w:pPr>
            <w:r>
              <w:rPr>
                <w:sz w:val="16"/>
              </w:rPr>
              <w:t>5,8</w:t>
            </w:r>
          </w:p>
        </w:tc>
        <w:tc>
          <w:tcPr>
            <w:tcW w:w="692" w:type="dxa"/>
            <w:noWrap/>
          </w:tcPr>
          <w:p w14:paraId="11CC8CAA" w14:textId="77777777" w:rsidR="00A37447" w:rsidRDefault="00A37447">
            <w:pPr>
              <w:keepNext/>
              <w:spacing w:after="20"/>
              <w:jc w:val="right"/>
            </w:pPr>
            <w:r>
              <w:rPr>
                <w:sz w:val="16"/>
              </w:rPr>
              <w:t>6,1</w:t>
            </w:r>
          </w:p>
        </w:tc>
        <w:tc>
          <w:tcPr>
            <w:tcW w:w="692" w:type="dxa"/>
            <w:noWrap/>
          </w:tcPr>
          <w:p w14:paraId="6F3D0782" w14:textId="77777777" w:rsidR="00A37447" w:rsidRDefault="00A37447">
            <w:pPr>
              <w:keepNext/>
              <w:spacing w:after="20"/>
              <w:jc w:val="right"/>
            </w:pPr>
            <w:r>
              <w:rPr>
                <w:sz w:val="16"/>
              </w:rPr>
              <w:t>6,6</w:t>
            </w:r>
          </w:p>
        </w:tc>
        <w:tc>
          <w:tcPr>
            <w:tcW w:w="692" w:type="dxa"/>
            <w:noWrap/>
          </w:tcPr>
          <w:p w14:paraId="1355F772" w14:textId="77777777" w:rsidR="00A37447" w:rsidRDefault="00A37447">
            <w:pPr>
              <w:keepNext/>
              <w:spacing w:after="20"/>
              <w:jc w:val="right"/>
            </w:pPr>
            <w:r>
              <w:rPr>
                <w:sz w:val="16"/>
              </w:rPr>
              <w:t>6,4</w:t>
            </w:r>
          </w:p>
        </w:tc>
        <w:tc>
          <w:tcPr>
            <w:tcW w:w="692" w:type="dxa"/>
            <w:noWrap/>
          </w:tcPr>
          <w:p w14:paraId="64029592" w14:textId="77777777" w:rsidR="00A37447" w:rsidRDefault="00A37447">
            <w:pPr>
              <w:keepNext/>
              <w:spacing w:after="20"/>
              <w:jc w:val="right"/>
            </w:pPr>
            <w:r>
              <w:rPr>
                <w:sz w:val="16"/>
              </w:rPr>
              <w:t>6,4</w:t>
            </w:r>
          </w:p>
        </w:tc>
        <w:tc>
          <w:tcPr>
            <w:tcW w:w="908" w:type="dxa"/>
            <w:noWrap/>
          </w:tcPr>
          <w:p w14:paraId="5230F4FA" w14:textId="77777777" w:rsidR="00A37447" w:rsidRDefault="00A37447">
            <w:pPr>
              <w:keepNext/>
              <w:spacing w:after="20"/>
              <w:jc w:val="right"/>
            </w:pPr>
            <w:r>
              <w:rPr>
                <w:sz w:val="16"/>
              </w:rPr>
              <w:t>-0,6 %</w:t>
            </w:r>
          </w:p>
        </w:tc>
        <w:tc>
          <w:tcPr>
            <w:tcW w:w="908" w:type="dxa"/>
            <w:noWrap/>
          </w:tcPr>
          <w:p w14:paraId="3B330D16" w14:textId="77777777" w:rsidR="00A37447" w:rsidRDefault="00A37447">
            <w:pPr>
              <w:keepNext/>
              <w:spacing w:after="20"/>
              <w:jc w:val="right"/>
            </w:pPr>
            <w:r>
              <w:rPr>
                <w:sz w:val="16"/>
              </w:rPr>
              <w:t>2,4 %</w:t>
            </w:r>
          </w:p>
        </w:tc>
      </w:tr>
      <w:tr w:rsidR="00855697" w14:paraId="04CDB75D" w14:textId="77777777">
        <w:trPr>
          <w:cantSplit/>
        </w:trPr>
        <w:tc>
          <w:tcPr>
            <w:tcW w:w="3230" w:type="dxa"/>
            <w:noWrap/>
          </w:tcPr>
          <w:p w14:paraId="343942EC" w14:textId="77777777" w:rsidR="00A37447" w:rsidRDefault="00A37447">
            <w:pPr>
              <w:keepNext/>
              <w:spacing w:after="20"/>
            </w:pPr>
            <w:r>
              <w:rPr>
                <w:sz w:val="17"/>
              </w:rPr>
              <w:t>Contugas</w:t>
            </w:r>
          </w:p>
        </w:tc>
        <w:tc>
          <w:tcPr>
            <w:tcW w:w="692" w:type="dxa"/>
            <w:noWrap/>
          </w:tcPr>
          <w:p w14:paraId="13C92D01" w14:textId="77777777" w:rsidR="00A37447" w:rsidRDefault="00A37447">
            <w:pPr>
              <w:keepNext/>
              <w:spacing w:after="20"/>
              <w:jc w:val="right"/>
            </w:pPr>
            <w:r>
              <w:rPr>
                <w:sz w:val="16"/>
              </w:rPr>
              <w:t>5,3</w:t>
            </w:r>
          </w:p>
        </w:tc>
        <w:tc>
          <w:tcPr>
            <w:tcW w:w="692" w:type="dxa"/>
            <w:noWrap/>
          </w:tcPr>
          <w:p w14:paraId="27D04DF7" w14:textId="77777777" w:rsidR="00A37447" w:rsidRDefault="00A37447">
            <w:pPr>
              <w:keepNext/>
              <w:spacing w:after="20"/>
              <w:jc w:val="right"/>
            </w:pPr>
            <w:r>
              <w:rPr>
                <w:sz w:val="16"/>
              </w:rPr>
              <w:t>6,8</w:t>
            </w:r>
          </w:p>
        </w:tc>
        <w:tc>
          <w:tcPr>
            <w:tcW w:w="692" w:type="dxa"/>
            <w:noWrap/>
          </w:tcPr>
          <w:p w14:paraId="7D4BC4F5" w14:textId="77777777" w:rsidR="00A37447" w:rsidRDefault="00A37447">
            <w:pPr>
              <w:keepNext/>
              <w:spacing w:after="20"/>
              <w:jc w:val="right"/>
            </w:pPr>
            <w:r>
              <w:rPr>
                <w:sz w:val="16"/>
              </w:rPr>
              <w:t>7,0</w:t>
            </w:r>
          </w:p>
        </w:tc>
        <w:tc>
          <w:tcPr>
            <w:tcW w:w="692" w:type="dxa"/>
            <w:noWrap/>
          </w:tcPr>
          <w:p w14:paraId="5ECFEF1A" w14:textId="77777777" w:rsidR="00A37447" w:rsidRDefault="00A37447">
            <w:pPr>
              <w:keepNext/>
              <w:spacing w:after="20"/>
              <w:jc w:val="right"/>
            </w:pPr>
            <w:r>
              <w:rPr>
                <w:sz w:val="16"/>
              </w:rPr>
              <w:t>7,5</w:t>
            </w:r>
          </w:p>
        </w:tc>
        <w:tc>
          <w:tcPr>
            <w:tcW w:w="692" w:type="dxa"/>
            <w:noWrap/>
          </w:tcPr>
          <w:p w14:paraId="6A149B46" w14:textId="77777777" w:rsidR="00A37447" w:rsidRDefault="00A37447">
            <w:pPr>
              <w:keepNext/>
              <w:spacing w:after="20"/>
              <w:jc w:val="right"/>
            </w:pPr>
            <w:r>
              <w:rPr>
                <w:sz w:val="16"/>
              </w:rPr>
              <w:t>7,1</w:t>
            </w:r>
          </w:p>
        </w:tc>
        <w:tc>
          <w:tcPr>
            <w:tcW w:w="908" w:type="dxa"/>
            <w:noWrap/>
          </w:tcPr>
          <w:p w14:paraId="3395BCAC" w14:textId="77777777" w:rsidR="00A37447" w:rsidRDefault="00A37447">
            <w:pPr>
              <w:keepNext/>
              <w:spacing w:after="20"/>
              <w:jc w:val="right"/>
            </w:pPr>
            <w:r>
              <w:rPr>
                <w:sz w:val="16"/>
              </w:rPr>
              <w:t>-4,8 %</w:t>
            </w:r>
          </w:p>
        </w:tc>
        <w:tc>
          <w:tcPr>
            <w:tcW w:w="908" w:type="dxa"/>
            <w:noWrap/>
          </w:tcPr>
          <w:p w14:paraId="1273F013" w14:textId="77777777" w:rsidR="00A37447" w:rsidRDefault="00A37447">
            <w:pPr>
              <w:keepNext/>
              <w:spacing w:after="20"/>
              <w:jc w:val="right"/>
            </w:pPr>
            <w:r>
              <w:rPr>
                <w:sz w:val="16"/>
              </w:rPr>
              <w:t>7,4 %</w:t>
            </w:r>
          </w:p>
        </w:tc>
      </w:tr>
      <w:tr w:rsidR="00855697" w14:paraId="491DB464" w14:textId="77777777">
        <w:trPr>
          <w:cantSplit/>
        </w:trPr>
        <w:tc>
          <w:tcPr>
            <w:tcW w:w="3230" w:type="dxa"/>
            <w:noWrap/>
          </w:tcPr>
          <w:p w14:paraId="63000F93" w14:textId="77777777" w:rsidR="00A37447" w:rsidRDefault="00A37447">
            <w:pPr>
              <w:keepNext/>
              <w:spacing w:after="20"/>
            </w:pPr>
            <w:r>
              <w:rPr>
                <w:sz w:val="17"/>
              </w:rPr>
              <w:t>Petroperú</w:t>
            </w:r>
          </w:p>
        </w:tc>
        <w:tc>
          <w:tcPr>
            <w:tcW w:w="692" w:type="dxa"/>
            <w:noWrap/>
          </w:tcPr>
          <w:p w14:paraId="14625B5D" w14:textId="77777777" w:rsidR="00A37447" w:rsidRDefault="00A37447">
            <w:pPr>
              <w:keepNext/>
              <w:spacing w:after="20"/>
              <w:jc w:val="right"/>
            </w:pPr>
            <w:r>
              <w:rPr>
                <w:sz w:val="16"/>
              </w:rPr>
              <w:t>14,2</w:t>
            </w:r>
          </w:p>
        </w:tc>
        <w:tc>
          <w:tcPr>
            <w:tcW w:w="692" w:type="dxa"/>
            <w:noWrap/>
          </w:tcPr>
          <w:p w14:paraId="1C57B3E9" w14:textId="77777777" w:rsidR="00A37447" w:rsidRDefault="00A37447">
            <w:pPr>
              <w:keepNext/>
              <w:spacing w:after="20"/>
              <w:jc w:val="right"/>
            </w:pPr>
            <w:r>
              <w:rPr>
                <w:sz w:val="16"/>
              </w:rPr>
              <w:t>16,4</w:t>
            </w:r>
          </w:p>
        </w:tc>
        <w:tc>
          <w:tcPr>
            <w:tcW w:w="692" w:type="dxa"/>
            <w:noWrap/>
          </w:tcPr>
          <w:p w14:paraId="6B9DC32A" w14:textId="77777777" w:rsidR="00A37447" w:rsidRDefault="00A37447">
            <w:pPr>
              <w:keepNext/>
              <w:spacing w:after="20"/>
              <w:jc w:val="right"/>
            </w:pPr>
            <w:r>
              <w:rPr>
                <w:sz w:val="16"/>
              </w:rPr>
              <w:t>17,6</w:t>
            </w:r>
          </w:p>
        </w:tc>
        <w:tc>
          <w:tcPr>
            <w:tcW w:w="692" w:type="dxa"/>
            <w:noWrap/>
          </w:tcPr>
          <w:p w14:paraId="1E551414" w14:textId="77777777" w:rsidR="00A37447" w:rsidRDefault="00A37447">
            <w:pPr>
              <w:keepNext/>
              <w:spacing w:after="20"/>
              <w:jc w:val="right"/>
            </w:pPr>
            <w:r>
              <w:rPr>
                <w:sz w:val="16"/>
              </w:rPr>
              <w:t>17,3</w:t>
            </w:r>
          </w:p>
        </w:tc>
        <w:tc>
          <w:tcPr>
            <w:tcW w:w="692" w:type="dxa"/>
            <w:noWrap/>
          </w:tcPr>
          <w:p w14:paraId="40EFF372" w14:textId="77777777" w:rsidR="00A37447" w:rsidRDefault="00A37447">
            <w:pPr>
              <w:keepNext/>
              <w:spacing w:after="20"/>
              <w:jc w:val="right"/>
            </w:pPr>
            <w:r>
              <w:rPr>
                <w:sz w:val="16"/>
              </w:rPr>
              <w:t>17,5</w:t>
            </w:r>
          </w:p>
        </w:tc>
        <w:tc>
          <w:tcPr>
            <w:tcW w:w="908" w:type="dxa"/>
            <w:noWrap/>
          </w:tcPr>
          <w:p w14:paraId="505B2E63" w14:textId="77777777" w:rsidR="00A37447" w:rsidRDefault="00A37447">
            <w:pPr>
              <w:keepNext/>
              <w:spacing w:after="20"/>
              <w:jc w:val="right"/>
            </w:pPr>
            <w:r>
              <w:rPr>
                <w:sz w:val="16"/>
              </w:rPr>
              <w:t>1,2 %</w:t>
            </w:r>
          </w:p>
        </w:tc>
        <w:tc>
          <w:tcPr>
            <w:tcW w:w="908" w:type="dxa"/>
            <w:noWrap/>
          </w:tcPr>
          <w:p w14:paraId="550F5ADD" w14:textId="77777777" w:rsidR="00A37447" w:rsidRDefault="00A37447">
            <w:pPr>
              <w:keepNext/>
              <w:spacing w:after="20"/>
              <w:jc w:val="right"/>
            </w:pPr>
            <w:r>
              <w:rPr>
                <w:sz w:val="16"/>
              </w:rPr>
              <w:t>5,2 %</w:t>
            </w:r>
          </w:p>
        </w:tc>
      </w:tr>
      <w:tr w:rsidR="00855697" w14:paraId="369DD36F" w14:textId="77777777">
        <w:trPr>
          <w:cantSplit/>
        </w:trPr>
        <w:tc>
          <w:tcPr>
            <w:tcW w:w="3230" w:type="dxa"/>
          </w:tcPr>
          <w:p w14:paraId="139E2D95" w14:textId="4FACD757" w:rsidR="00A37447" w:rsidRPr="00470B68" w:rsidRDefault="00A37447">
            <w:pPr>
              <w:keepNext/>
              <w:spacing w:after="20"/>
              <w:rPr>
                <w:lang w:val="es-PE"/>
              </w:rPr>
            </w:pPr>
            <w:r w:rsidRPr="00470B68">
              <w:rPr>
                <w:sz w:val="17"/>
                <w:lang w:val="es-PE"/>
              </w:rPr>
              <w:t xml:space="preserve">Gases del Pacífico </w:t>
            </w:r>
            <w:r>
              <w:rPr>
                <w:sz w:val="17"/>
                <w:lang w:val="es-PE"/>
              </w:rPr>
              <w:t>–</w:t>
            </w:r>
            <w:r w:rsidRPr="00470B68">
              <w:rPr>
                <w:sz w:val="17"/>
                <w:lang w:val="es-PE"/>
              </w:rPr>
              <w:t xml:space="preserve"> gran industria</w:t>
            </w:r>
          </w:p>
        </w:tc>
        <w:tc>
          <w:tcPr>
            <w:tcW w:w="692" w:type="dxa"/>
            <w:noWrap/>
          </w:tcPr>
          <w:p w14:paraId="36476B05" w14:textId="77777777" w:rsidR="00A37447" w:rsidRDefault="00A37447">
            <w:pPr>
              <w:keepNext/>
              <w:spacing w:after="20"/>
              <w:jc w:val="right"/>
            </w:pPr>
            <w:r>
              <w:rPr>
                <w:sz w:val="16"/>
              </w:rPr>
              <w:t>8,9</w:t>
            </w:r>
          </w:p>
        </w:tc>
        <w:tc>
          <w:tcPr>
            <w:tcW w:w="692" w:type="dxa"/>
            <w:noWrap/>
          </w:tcPr>
          <w:p w14:paraId="6CE17A00" w14:textId="5BBBDB29" w:rsidR="00A37447" w:rsidRDefault="00A37447">
            <w:pPr>
              <w:keepNext/>
              <w:spacing w:after="20"/>
              <w:jc w:val="right"/>
            </w:pPr>
            <w:r>
              <w:rPr>
                <w:sz w:val="16"/>
              </w:rPr>
              <w:t>10,3</w:t>
            </w:r>
          </w:p>
        </w:tc>
        <w:tc>
          <w:tcPr>
            <w:tcW w:w="692" w:type="dxa"/>
            <w:noWrap/>
          </w:tcPr>
          <w:p w14:paraId="21125461" w14:textId="77777777" w:rsidR="00A37447" w:rsidRDefault="00A37447">
            <w:pPr>
              <w:keepNext/>
              <w:spacing w:after="20"/>
              <w:jc w:val="right"/>
            </w:pPr>
            <w:r>
              <w:rPr>
                <w:sz w:val="16"/>
              </w:rPr>
              <w:t>11,2</w:t>
            </w:r>
          </w:p>
        </w:tc>
        <w:tc>
          <w:tcPr>
            <w:tcW w:w="692" w:type="dxa"/>
            <w:noWrap/>
          </w:tcPr>
          <w:p w14:paraId="573BC2D0" w14:textId="77777777" w:rsidR="00A37447" w:rsidRDefault="00A37447">
            <w:pPr>
              <w:keepNext/>
              <w:spacing w:after="20"/>
              <w:jc w:val="right"/>
            </w:pPr>
            <w:r>
              <w:rPr>
                <w:sz w:val="16"/>
              </w:rPr>
              <w:t>11,7</w:t>
            </w:r>
          </w:p>
        </w:tc>
        <w:tc>
          <w:tcPr>
            <w:tcW w:w="692" w:type="dxa"/>
            <w:noWrap/>
          </w:tcPr>
          <w:p w14:paraId="2AAD7A88" w14:textId="77777777" w:rsidR="00A37447" w:rsidRDefault="00A37447">
            <w:pPr>
              <w:keepNext/>
              <w:spacing w:after="20"/>
              <w:jc w:val="right"/>
            </w:pPr>
            <w:r>
              <w:rPr>
                <w:sz w:val="16"/>
              </w:rPr>
              <w:t>12,9</w:t>
            </w:r>
          </w:p>
        </w:tc>
        <w:tc>
          <w:tcPr>
            <w:tcW w:w="908" w:type="dxa"/>
            <w:noWrap/>
          </w:tcPr>
          <w:p w14:paraId="5C428C7F" w14:textId="77777777" w:rsidR="00A37447" w:rsidRDefault="00A37447">
            <w:pPr>
              <w:keepNext/>
              <w:spacing w:after="20"/>
              <w:jc w:val="right"/>
            </w:pPr>
            <w:r>
              <w:rPr>
                <w:sz w:val="16"/>
              </w:rPr>
              <w:t>10,6 %</w:t>
            </w:r>
          </w:p>
        </w:tc>
        <w:tc>
          <w:tcPr>
            <w:tcW w:w="908" w:type="dxa"/>
            <w:noWrap/>
          </w:tcPr>
          <w:p w14:paraId="0014BCDB" w14:textId="77777777" w:rsidR="00A37447" w:rsidRDefault="00A37447">
            <w:pPr>
              <w:keepNext/>
              <w:spacing w:after="20"/>
              <w:jc w:val="right"/>
            </w:pPr>
            <w:r>
              <w:rPr>
                <w:sz w:val="16"/>
              </w:rPr>
              <w:t>9,9 %</w:t>
            </w:r>
          </w:p>
        </w:tc>
      </w:tr>
      <w:tr w:rsidR="00855697" w14:paraId="6575611A" w14:textId="77777777">
        <w:trPr>
          <w:cantSplit/>
        </w:trPr>
        <w:tc>
          <w:tcPr>
            <w:tcW w:w="3230" w:type="dxa"/>
          </w:tcPr>
          <w:p w14:paraId="22E0B9E3" w14:textId="34CE0530" w:rsidR="00A37447" w:rsidRPr="00470B68" w:rsidRDefault="00A37447">
            <w:pPr>
              <w:keepNext/>
              <w:spacing w:after="20"/>
              <w:rPr>
                <w:lang w:val="es-PE"/>
              </w:rPr>
            </w:pPr>
            <w:r w:rsidRPr="00470B68">
              <w:rPr>
                <w:sz w:val="17"/>
                <w:lang w:val="es-PE"/>
              </w:rPr>
              <w:t xml:space="preserve">Gases del Pacífico </w:t>
            </w:r>
            <w:r>
              <w:rPr>
                <w:sz w:val="17"/>
                <w:lang w:val="es-PE"/>
              </w:rPr>
              <w:t>–</w:t>
            </w:r>
            <w:r w:rsidRPr="00470B68">
              <w:rPr>
                <w:sz w:val="17"/>
                <w:lang w:val="es-PE"/>
              </w:rPr>
              <w:t xml:space="preserve"> industria mediana</w:t>
            </w:r>
          </w:p>
        </w:tc>
        <w:tc>
          <w:tcPr>
            <w:tcW w:w="692" w:type="dxa"/>
            <w:noWrap/>
          </w:tcPr>
          <w:p w14:paraId="2247FBA1" w14:textId="77777777" w:rsidR="00A37447" w:rsidRDefault="00A37447">
            <w:pPr>
              <w:keepNext/>
              <w:spacing w:after="20"/>
              <w:jc w:val="right"/>
            </w:pPr>
            <w:r>
              <w:rPr>
                <w:sz w:val="16"/>
              </w:rPr>
              <w:t>12,9</w:t>
            </w:r>
          </w:p>
        </w:tc>
        <w:tc>
          <w:tcPr>
            <w:tcW w:w="692" w:type="dxa"/>
            <w:noWrap/>
          </w:tcPr>
          <w:p w14:paraId="3E8D11E0" w14:textId="77777777" w:rsidR="00A37447" w:rsidRDefault="00A37447">
            <w:pPr>
              <w:keepNext/>
              <w:spacing w:after="20"/>
              <w:jc w:val="right"/>
            </w:pPr>
            <w:r>
              <w:rPr>
                <w:sz w:val="16"/>
              </w:rPr>
              <w:t>15,4</w:t>
            </w:r>
          </w:p>
        </w:tc>
        <w:tc>
          <w:tcPr>
            <w:tcW w:w="692" w:type="dxa"/>
            <w:noWrap/>
          </w:tcPr>
          <w:p w14:paraId="44F395AB" w14:textId="77777777" w:rsidR="00A37447" w:rsidRDefault="00A37447">
            <w:pPr>
              <w:keepNext/>
              <w:spacing w:after="20"/>
              <w:jc w:val="right"/>
            </w:pPr>
            <w:r>
              <w:rPr>
                <w:sz w:val="16"/>
              </w:rPr>
              <w:t>16,2</w:t>
            </w:r>
          </w:p>
        </w:tc>
        <w:tc>
          <w:tcPr>
            <w:tcW w:w="692" w:type="dxa"/>
            <w:noWrap/>
          </w:tcPr>
          <w:p w14:paraId="4FC18C0C" w14:textId="77777777" w:rsidR="00A37447" w:rsidRDefault="00A37447">
            <w:pPr>
              <w:keepNext/>
              <w:spacing w:after="20"/>
              <w:jc w:val="right"/>
            </w:pPr>
            <w:r>
              <w:rPr>
                <w:sz w:val="16"/>
              </w:rPr>
              <w:t>17,2</w:t>
            </w:r>
          </w:p>
        </w:tc>
        <w:tc>
          <w:tcPr>
            <w:tcW w:w="692" w:type="dxa"/>
            <w:noWrap/>
          </w:tcPr>
          <w:p w14:paraId="4F269AC6" w14:textId="77777777" w:rsidR="00A37447" w:rsidRDefault="00A37447">
            <w:pPr>
              <w:keepNext/>
              <w:spacing w:after="20"/>
              <w:jc w:val="right"/>
            </w:pPr>
            <w:r>
              <w:rPr>
                <w:sz w:val="16"/>
              </w:rPr>
              <w:t>13,3</w:t>
            </w:r>
          </w:p>
        </w:tc>
        <w:tc>
          <w:tcPr>
            <w:tcW w:w="908" w:type="dxa"/>
            <w:noWrap/>
          </w:tcPr>
          <w:p w14:paraId="170C85C8" w14:textId="77777777" w:rsidR="00A37447" w:rsidRDefault="00A37447">
            <w:pPr>
              <w:keepNext/>
              <w:spacing w:after="20"/>
              <w:jc w:val="right"/>
            </w:pPr>
            <w:r>
              <w:rPr>
                <w:sz w:val="16"/>
              </w:rPr>
              <w:t>-22,7 %</w:t>
            </w:r>
          </w:p>
        </w:tc>
        <w:tc>
          <w:tcPr>
            <w:tcW w:w="908" w:type="dxa"/>
            <w:noWrap/>
          </w:tcPr>
          <w:p w14:paraId="56751A0E" w14:textId="77777777" w:rsidR="00A37447" w:rsidRDefault="00A37447">
            <w:pPr>
              <w:keepNext/>
              <w:spacing w:after="20"/>
              <w:jc w:val="right"/>
            </w:pPr>
            <w:r>
              <w:rPr>
                <w:sz w:val="16"/>
              </w:rPr>
              <w:t>0,8 %</w:t>
            </w:r>
          </w:p>
        </w:tc>
      </w:tr>
      <w:tr w:rsidR="00855697" w14:paraId="290C3D4A" w14:textId="77777777">
        <w:trPr>
          <w:cantSplit/>
        </w:trPr>
        <w:tc>
          <w:tcPr>
            <w:tcW w:w="3230" w:type="dxa"/>
          </w:tcPr>
          <w:p w14:paraId="5FC513CD" w14:textId="77777777" w:rsidR="00A37447" w:rsidRPr="003E0D14" w:rsidRDefault="00A37447">
            <w:pPr>
              <w:keepNext/>
              <w:spacing w:after="20"/>
              <w:rPr>
                <w:lang w:val="es-PE"/>
              </w:rPr>
            </w:pPr>
            <w:r w:rsidRPr="003E0D14">
              <w:rPr>
                <w:sz w:val="17"/>
                <w:lang w:val="es-PE"/>
              </w:rPr>
              <w:t>Quavii – Gases del Norte del Perú</w:t>
            </w:r>
          </w:p>
        </w:tc>
        <w:tc>
          <w:tcPr>
            <w:tcW w:w="692" w:type="dxa"/>
            <w:noWrap/>
          </w:tcPr>
          <w:p w14:paraId="26959C15" w14:textId="77777777" w:rsidR="00A37447" w:rsidRDefault="00A37447">
            <w:pPr>
              <w:keepNext/>
              <w:spacing w:after="20"/>
              <w:jc w:val="right"/>
            </w:pPr>
            <w:r>
              <w:rPr>
                <w:sz w:val="16"/>
              </w:rPr>
              <w:t>9,2</w:t>
            </w:r>
          </w:p>
        </w:tc>
        <w:tc>
          <w:tcPr>
            <w:tcW w:w="692" w:type="dxa"/>
            <w:noWrap/>
          </w:tcPr>
          <w:p w14:paraId="549187BA" w14:textId="77777777" w:rsidR="00A37447" w:rsidRDefault="00A37447">
            <w:pPr>
              <w:keepNext/>
              <w:spacing w:after="20"/>
              <w:jc w:val="right"/>
            </w:pPr>
            <w:r>
              <w:rPr>
                <w:sz w:val="16"/>
              </w:rPr>
              <w:t>8,4</w:t>
            </w:r>
          </w:p>
        </w:tc>
        <w:tc>
          <w:tcPr>
            <w:tcW w:w="692" w:type="dxa"/>
            <w:noWrap/>
          </w:tcPr>
          <w:p w14:paraId="6E10C9F4" w14:textId="77777777" w:rsidR="00A37447" w:rsidRDefault="00A37447">
            <w:pPr>
              <w:keepNext/>
              <w:spacing w:after="20"/>
              <w:jc w:val="right"/>
            </w:pPr>
            <w:r>
              <w:rPr>
                <w:sz w:val="16"/>
              </w:rPr>
              <w:t>8,9</w:t>
            </w:r>
          </w:p>
        </w:tc>
        <w:tc>
          <w:tcPr>
            <w:tcW w:w="692" w:type="dxa"/>
            <w:noWrap/>
          </w:tcPr>
          <w:p w14:paraId="15207840" w14:textId="77777777" w:rsidR="00A37447" w:rsidRDefault="00A37447">
            <w:pPr>
              <w:keepNext/>
              <w:spacing w:after="20"/>
              <w:jc w:val="right"/>
            </w:pPr>
            <w:r>
              <w:rPr>
                <w:sz w:val="16"/>
              </w:rPr>
              <w:t>8,3</w:t>
            </w:r>
          </w:p>
        </w:tc>
        <w:tc>
          <w:tcPr>
            <w:tcW w:w="692" w:type="dxa"/>
            <w:noWrap/>
          </w:tcPr>
          <w:p w14:paraId="19B1E43A" w14:textId="77777777" w:rsidR="00A37447" w:rsidRDefault="00A37447">
            <w:pPr>
              <w:keepNext/>
              <w:spacing w:after="20"/>
              <w:jc w:val="right"/>
            </w:pPr>
            <w:r>
              <w:rPr>
                <w:sz w:val="16"/>
              </w:rPr>
              <w:t>8,1</w:t>
            </w:r>
          </w:p>
        </w:tc>
        <w:tc>
          <w:tcPr>
            <w:tcW w:w="908" w:type="dxa"/>
            <w:noWrap/>
          </w:tcPr>
          <w:p w14:paraId="588D48A8" w14:textId="77777777" w:rsidR="00A37447" w:rsidRDefault="00A37447">
            <w:pPr>
              <w:keepNext/>
              <w:spacing w:after="20"/>
              <w:jc w:val="right"/>
            </w:pPr>
            <w:r>
              <w:rPr>
                <w:sz w:val="16"/>
              </w:rPr>
              <w:t>-2,5 %</w:t>
            </w:r>
          </w:p>
        </w:tc>
        <w:tc>
          <w:tcPr>
            <w:tcW w:w="908" w:type="dxa"/>
            <w:noWrap/>
          </w:tcPr>
          <w:p w14:paraId="3F2928BA" w14:textId="77777777" w:rsidR="00A37447" w:rsidRDefault="00A37447">
            <w:pPr>
              <w:keepNext/>
              <w:spacing w:after="20"/>
              <w:jc w:val="right"/>
            </w:pPr>
            <w:r>
              <w:rPr>
                <w:sz w:val="16"/>
              </w:rPr>
              <w:t>-3,2 %</w:t>
            </w:r>
          </w:p>
        </w:tc>
      </w:tr>
    </w:tbl>
    <w:p w14:paraId="631B105D" w14:textId="77777777" w:rsidR="00855697" w:rsidRPr="00470B68" w:rsidRDefault="00D4093E">
      <w:pPr>
        <w:keepNext/>
        <w:keepLines/>
        <w:spacing w:before="40" w:after="0"/>
        <w:rPr>
          <w:lang w:val="es-PE"/>
        </w:rPr>
      </w:pPr>
      <w:r w:rsidRPr="00470B68">
        <w:rPr>
          <w:i/>
          <w:color w:val="595959"/>
          <w:sz w:val="15"/>
          <w:lang w:val="es-PE"/>
        </w:rPr>
        <w:t>Desde 2025</w:t>
      </w:r>
      <w:r>
        <w:rPr>
          <w:i/>
          <w:color w:val="595959"/>
          <w:sz w:val="15"/>
          <w:lang w:val="es-PE"/>
        </w:rPr>
        <w:t>,</w:t>
      </w:r>
      <w:r w:rsidRPr="00470B68">
        <w:rPr>
          <w:i/>
          <w:color w:val="595959"/>
          <w:sz w:val="15"/>
          <w:lang w:val="es-PE"/>
        </w:rPr>
        <w:t xml:space="preserve"> la Concesión Norte tiene una nueva estructura tarifaria: la gran industria pasó de la categoría VII (más de 280 mil Sm³ al mes) a la F (más de 143 mil) y la industria mediana, de la IV a la D (entre 5 mil y 38 mil). La comparación se hace por rango de consumo equivalente. La tarifa de la gran industria se mantuvo en soles; su alza en dólares refleja la apreciación del sol.</w:t>
      </w:r>
    </w:p>
    <w:p w14:paraId="559811EE" w14:textId="77B4274C" w:rsidR="00A37447" w:rsidRDefault="00A37447">
      <w:pPr>
        <w:keepLines/>
        <w:spacing w:before="40"/>
        <w:jc w:val="right"/>
      </w:pPr>
      <w:r>
        <w:rPr>
          <w:b/>
          <w:color w:val="404040"/>
          <w:sz w:val="15"/>
        </w:rPr>
        <w:t>FUENTE: Osinergmin, APOYO Consultoría</w:t>
      </w:r>
    </w:p>
    <w:p w14:paraId="67466FE4" w14:textId="77777777" w:rsidR="00A37447" w:rsidRDefault="00A37447">
      <w:pPr>
        <w:spacing w:before="160"/>
        <w:jc w:val="center"/>
      </w:pPr>
      <w:r>
        <w:rPr>
          <w:noProof/>
        </w:rPr>
        <w:lastRenderedPageBreak/>
        <w:drawing>
          <wp:inline distT="0" distB="0" distL="0" distR="0" wp14:anchorId="4B27791D" wp14:editId="445E298C">
            <wp:extent cx="5400000" cy="3697403"/>
            <wp:effectExtent l="0" t="0" r="0" b="0"/>
            <wp:docPr id="90076" name="Picture 9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11.png"/>
                    <pic:cNvPicPr/>
                  </pic:nvPicPr>
                  <pic:blipFill>
                    <a:blip r:embed="rId21"/>
                    <a:stretch>
                      <a:fillRect/>
                    </a:stretch>
                  </pic:blipFill>
                  <pic:spPr>
                    <a:xfrm>
                      <a:off x="0" y="0"/>
                      <a:ext cx="5400000" cy="3697403"/>
                    </a:xfrm>
                    <a:prstGeom prst="rect">
                      <a:avLst/>
                    </a:prstGeom>
                  </pic:spPr>
                </pic:pic>
              </a:graphicData>
            </a:graphic>
          </wp:inline>
        </w:drawing>
      </w:r>
    </w:p>
    <w:p w14:paraId="56AA4F7F" w14:textId="3BE855D5" w:rsidR="00A37447" w:rsidRPr="0036111A" w:rsidRDefault="00A37447">
      <w:pPr>
        <w:keepLines/>
        <w:spacing w:after="120"/>
        <w:rPr>
          <w:lang w:val="es-PE"/>
        </w:rPr>
      </w:pPr>
      <w:r w:rsidRPr="0036111A">
        <w:rPr>
          <w:highlight w:val="yellow"/>
          <w:lang w:val="es-PE"/>
        </w:rPr>
        <w:t xml:space="preserve">A </w:t>
      </w:r>
      <w:r w:rsidR="006C7379" w:rsidRPr="0036111A">
        <w:rPr>
          <w:highlight w:val="yellow"/>
          <w:lang w:val="es-PE"/>
        </w:rPr>
        <w:t>continuación,</w:t>
      </w:r>
      <w:r w:rsidRPr="0036111A">
        <w:rPr>
          <w:highlight w:val="yellow"/>
          <w:lang w:val="es-PE"/>
        </w:rPr>
        <w:t xml:space="preserve"> se presenta la evolución de la tarifa cobrada al usuario final por concesionaria y categoría de consumo, homogeneizada a dólares por millón de BTU (US$/MMBTU) a diciembre de cada año, junto con la descomposición de la tarifa en sus componentes de suministro, transporte y distribución y comercialización (2025 frente a 2021).</w:t>
      </w:r>
    </w:p>
    <w:p w14:paraId="5EB8AF20" w14:textId="77777777" w:rsidR="00A37447" w:rsidRPr="0036111A" w:rsidRDefault="00A37447">
      <w:pPr>
        <w:pStyle w:val="Ttulo4"/>
        <w:pageBreakBefore/>
        <w:rPr>
          <w:lang w:val="es-PE"/>
        </w:rPr>
      </w:pPr>
      <w:bookmarkStart w:id="24" w:name="_Toc235083034"/>
      <w:r w:rsidRPr="0036111A">
        <w:rPr>
          <w:lang w:val="es-PE"/>
        </w:rPr>
        <w:lastRenderedPageBreak/>
        <w:t>3.2.8.1. Cálidda</w:t>
      </w:r>
      <w:bookmarkEnd w:id="24"/>
    </w:p>
    <w:p w14:paraId="6E233F5B" w14:textId="5EA9E172" w:rsidR="00A37447" w:rsidRPr="0036111A" w:rsidRDefault="00A37447">
      <w:pPr>
        <w:keepLines/>
        <w:spacing w:after="120"/>
        <w:rPr>
          <w:lang w:val="es-PE"/>
        </w:rPr>
      </w:pPr>
      <w:r w:rsidRPr="0036111A">
        <w:rPr>
          <w:lang w:val="es-PE"/>
        </w:rPr>
        <w:t xml:space="preserve">Cálidda mantuvo </w:t>
      </w:r>
      <w:r w:rsidR="003452C9">
        <w:rPr>
          <w:lang w:val="es-PE"/>
        </w:rPr>
        <w:t>sus</w:t>
      </w:r>
      <w:r w:rsidRPr="0036111A">
        <w:rPr>
          <w:lang w:val="es-PE"/>
        </w:rPr>
        <w:t xml:space="preserve"> tarifas residenciales (</w:t>
      </w:r>
      <w:r>
        <w:rPr>
          <w:lang w:val="es-PE"/>
        </w:rPr>
        <w:t>c</w:t>
      </w:r>
      <w:r w:rsidRPr="0036111A">
        <w:rPr>
          <w:lang w:val="es-PE"/>
        </w:rPr>
        <w:t xml:space="preserve">ategoría A1) </w:t>
      </w:r>
      <w:r w:rsidR="003452C9">
        <w:rPr>
          <w:lang w:val="es-PE"/>
        </w:rPr>
        <w:t>como unas de las más</w:t>
      </w:r>
      <w:r w:rsidRPr="0036111A">
        <w:rPr>
          <w:lang w:val="es-PE"/>
        </w:rPr>
        <w:t xml:space="preserve"> competitivas del sistema, en torno a US$ 12,4 por MMBTU en 2025, con ligeras caídas en dólares que, descontada la apreciación del sol, equivalen a un retroceso cercano a 12 % en moneda local. En los segmentos industriales y de generación eléctrica, las tarifas se ubicaron alrededor de US$ 7 y US$ 5 por MMBTU, respectivamente.</w:t>
      </w:r>
    </w:p>
    <w:p w14:paraId="59427301" w14:textId="77777777" w:rsidR="00A37447" w:rsidRPr="0036111A" w:rsidRDefault="00A37447">
      <w:pPr>
        <w:keepNext/>
        <w:keepLines/>
        <w:spacing w:before="160" w:after="20"/>
        <w:rPr>
          <w:lang w:val="es-PE"/>
        </w:rPr>
      </w:pPr>
      <w:r w:rsidRPr="0036111A">
        <w:rPr>
          <w:b/>
          <w:color w:val="00838F"/>
          <w:sz w:val="20"/>
          <w:lang w:val="es-PE"/>
        </w:rPr>
        <w:t>CÁLIDDA: TARIFA COBRADA AL USUARIO FINAL</w:t>
      </w:r>
    </w:p>
    <w:p w14:paraId="6542CB65" w14:textId="77777777" w:rsidR="00A37447" w:rsidRPr="0036111A" w:rsidRDefault="00A37447">
      <w:pPr>
        <w:keepNext/>
        <w:keepLines/>
        <w:spacing w:after="60"/>
        <w:rPr>
          <w:lang w:val="es-PE"/>
        </w:rPr>
      </w:pPr>
      <w:r w:rsidRPr="0036111A">
        <w:rPr>
          <w:i/>
          <w:sz w:val="17"/>
          <w:lang w:val="es-PE"/>
        </w:rPr>
        <w:t>US$ por millón de BTU; tarifas a diciembre de cada año</w:t>
      </w:r>
      <w:r>
        <w:rPr>
          <w:i/>
          <w:sz w:val="17"/>
          <w:lang w:val="es-PE"/>
        </w:rPr>
        <w:t>.</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2EE9D419" w14:textId="77777777">
        <w:trPr>
          <w:cantSplit/>
          <w:tblHeader/>
        </w:trPr>
        <w:tc>
          <w:tcPr>
            <w:tcW w:w="1063" w:type="dxa"/>
            <w:shd w:val="clear" w:color="auto" w:fill="1F3864"/>
          </w:tcPr>
          <w:p w14:paraId="4E81E052" w14:textId="77777777" w:rsidR="00A37447" w:rsidRDefault="00A37447">
            <w:pPr>
              <w:keepNext/>
            </w:pPr>
            <w:r>
              <w:rPr>
                <w:b/>
                <w:color w:val="FFFFFF"/>
                <w:sz w:val="17"/>
              </w:rPr>
              <w:t>Categoría</w:t>
            </w:r>
          </w:p>
        </w:tc>
        <w:tc>
          <w:tcPr>
            <w:tcW w:w="1063" w:type="dxa"/>
            <w:shd w:val="clear" w:color="auto" w:fill="1F3864"/>
            <w:noWrap/>
          </w:tcPr>
          <w:p w14:paraId="67878294" w14:textId="77777777" w:rsidR="00A37447" w:rsidRDefault="00A37447">
            <w:pPr>
              <w:keepNext/>
              <w:jc w:val="right"/>
            </w:pPr>
            <w:r>
              <w:rPr>
                <w:b/>
                <w:color w:val="FFFFFF"/>
                <w:sz w:val="17"/>
              </w:rPr>
              <w:t>2021</w:t>
            </w:r>
          </w:p>
        </w:tc>
        <w:tc>
          <w:tcPr>
            <w:tcW w:w="1063" w:type="dxa"/>
            <w:shd w:val="clear" w:color="auto" w:fill="1F3864"/>
            <w:noWrap/>
          </w:tcPr>
          <w:p w14:paraId="54A94AF8" w14:textId="77777777" w:rsidR="00A37447" w:rsidRDefault="00A37447">
            <w:pPr>
              <w:keepNext/>
              <w:jc w:val="right"/>
            </w:pPr>
            <w:r>
              <w:rPr>
                <w:b/>
                <w:color w:val="FFFFFF"/>
                <w:sz w:val="17"/>
              </w:rPr>
              <w:t>2022</w:t>
            </w:r>
          </w:p>
        </w:tc>
        <w:tc>
          <w:tcPr>
            <w:tcW w:w="1063" w:type="dxa"/>
            <w:shd w:val="clear" w:color="auto" w:fill="1F3864"/>
            <w:noWrap/>
          </w:tcPr>
          <w:p w14:paraId="7DADF8D0" w14:textId="77777777" w:rsidR="00A37447" w:rsidRDefault="00A37447">
            <w:pPr>
              <w:keepNext/>
              <w:jc w:val="right"/>
            </w:pPr>
            <w:r>
              <w:rPr>
                <w:b/>
                <w:color w:val="FFFFFF"/>
                <w:sz w:val="17"/>
              </w:rPr>
              <w:t>2023</w:t>
            </w:r>
          </w:p>
        </w:tc>
        <w:tc>
          <w:tcPr>
            <w:tcW w:w="1063" w:type="dxa"/>
            <w:shd w:val="clear" w:color="auto" w:fill="1F3864"/>
            <w:noWrap/>
          </w:tcPr>
          <w:p w14:paraId="162F32E9" w14:textId="77777777" w:rsidR="00A37447" w:rsidRDefault="00A37447">
            <w:pPr>
              <w:keepNext/>
              <w:jc w:val="right"/>
            </w:pPr>
            <w:r>
              <w:rPr>
                <w:b/>
                <w:color w:val="FFFFFF"/>
                <w:sz w:val="17"/>
              </w:rPr>
              <w:t>2024</w:t>
            </w:r>
          </w:p>
        </w:tc>
        <w:tc>
          <w:tcPr>
            <w:tcW w:w="1063" w:type="dxa"/>
            <w:shd w:val="clear" w:color="auto" w:fill="1F3864"/>
            <w:noWrap/>
          </w:tcPr>
          <w:p w14:paraId="2BC0C520" w14:textId="77777777" w:rsidR="00A37447" w:rsidRDefault="00A37447">
            <w:pPr>
              <w:keepNext/>
              <w:jc w:val="right"/>
            </w:pPr>
            <w:r>
              <w:rPr>
                <w:b/>
                <w:color w:val="FFFFFF"/>
                <w:sz w:val="17"/>
              </w:rPr>
              <w:t>2025</w:t>
            </w:r>
          </w:p>
        </w:tc>
        <w:tc>
          <w:tcPr>
            <w:tcW w:w="1063" w:type="dxa"/>
            <w:shd w:val="clear" w:color="auto" w:fill="1F3864"/>
          </w:tcPr>
          <w:p w14:paraId="1D57241C" w14:textId="77777777" w:rsidR="00A37447" w:rsidRDefault="00A37447">
            <w:pPr>
              <w:keepNext/>
              <w:jc w:val="right"/>
            </w:pPr>
            <w:r>
              <w:rPr>
                <w:b/>
                <w:color w:val="FFFFFF"/>
                <w:sz w:val="17"/>
              </w:rPr>
              <w:t>Var. % 2025 vs 2024</w:t>
            </w:r>
          </w:p>
        </w:tc>
        <w:tc>
          <w:tcPr>
            <w:tcW w:w="1063" w:type="dxa"/>
            <w:shd w:val="clear" w:color="auto" w:fill="1F3864"/>
          </w:tcPr>
          <w:p w14:paraId="33110497" w14:textId="77777777" w:rsidR="00A37447" w:rsidRDefault="00A37447">
            <w:pPr>
              <w:keepNext/>
              <w:jc w:val="right"/>
            </w:pPr>
            <w:r>
              <w:rPr>
                <w:b/>
                <w:color w:val="FFFFFF"/>
                <w:sz w:val="17"/>
              </w:rPr>
              <w:t>TACC 2021-2025</w:t>
            </w:r>
          </w:p>
        </w:tc>
      </w:tr>
      <w:tr w:rsidR="00855697" w14:paraId="2B6DE4B1" w14:textId="77777777">
        <w:trPr>
          <w:cantSplit/>
        </w:trPr>
        <w:tc>
          <w:tcPr>
            <w:tcW w:w="1063" w:type="dxa"/>
          </w:tcPr>
          <w:p w14:paraId="5B7A823F" w14:textId="77777777" w:rsidR="00A37447" w:rsidRDefault="00A37447">
            <w:pPr>
              <w:keepNext/>
              <w:spacing w:after="20"/>
            </w:pPr>
            <w:r>
              <w:rPr>
                <w:sz w:val="17"/>
              </w:rPr>
              <w:t>Cat. A1 - Residencial</w:t>
            </w:r>
          </w:p>
        </w:tc>
        <w:tc>
          <w:tcPr>
            <w:tcW w:w="1063" w:type="dxa"/>
            <w:noWrap/>
          </w:tcPr>
          <w:p w14:paraId="05E38973" w14:textId="77777777" w:rsidR="00A37447" w:rsidRDefault="00A37447">
            <w:pPr>
              <w:keepNext/>
              <w:spacing w:after="20"/>
              <w:jc w:val="right"/>
            </w:pPr>
            <w:r>
              <w:rPr>
                <w:sz w:val="16"/>
              </w:rPr>
              <w:t>12,8</w:t>
            </w:r>
          </w:p>
        </w:tc>
        <w:tc>
          <w:tcPr>
            <w:tcW w:w="1063" w:type="dxa"/>
            <w:noWrap/>
          </w:tcPr>
          <w:p w14:paraId="051CBD19" w14:textId="77777777" w:rsidR="00A37447" w:rsidRDefault="00A37447">
            <w:pPr>
              <w:keepNext/>
              <w:spacing w:after="20"/>
              <w:jc w:val="right"/>
            </w:pPr>
            <w:r>
              <w:rPr>
                <w:sz w:val="16"/>
              </w:rPr>
              <w:t>12,0</w:t>
            </w:r>
          </w:p>
        </w:tc>
        <w:tc>
          <w:tcPr>
            <w:tcW w:w="1063" w:type="dxa"/>
            <w:noWrap/>
          </w:tcPr>
          <w:p w14:paraId="3A8F2406" w14:textId="77777777" w:rsidR="00A37447" w:rsidRDefault="00A37447">
            <w:pPr>
              <w:keepNext/>
              <w:spacing w:after="20"/>
              <w:jc w:val="right"/>
            </w:pPr>
            <w:r>
              <w:rPr>
                <w:sz w:val="16"/>
              </w:rPr>
              <w:t>12,3</w:t>
            </w:r>
          </w:p>
        </w:tc>
        <w:tc>
          <w:tcPr>
            <w:tcW w:w="1063" w:type="dxa"/>
            <w:noWrap/>
          </w:tcPr>
          <w:p w14:paraId="2065E002" w14:textId="77777777" w:rsidR="00A37447" w:rsidRDefault="00A37447">
            <w:pPr>
              <w:keepNext/>
              <w:spacing w:after="20"/>
              <w:jc w:val="right"/>
            </w:pPr>
            <w:r>
              <w:rPr>
                <w:sz w:val="16"/>
              </w:rPr>
              <w:t>12,6</w:t>
            </w:r>
          </w:p>
        </w:tc>
        <w:tc>
          <w:tcPr>
            <w:tcW w:w="1063" w:type="dxa"/>
            <w:noWrap/>
          </w:tcPr>
          <w:p w14:paraId="7F4F80CB" w14:textId="77777777" w:rsidR="00A37447" w:rsidRDefault="00A37447">
            <w:pPr>
              <w:keepNext/>
              <w:spacing w:after="20"/>
              <w:jc w:val="right"/>
            </w:pPr>
            <w:r>
              <w:rPr>
                <w:sz w:val="16"/>
              </w:rPr>
              <w:t>12,4</w:t>
            </w:r>
          </w:p>
        </w:tc>
        <w:tc>
          <w:tcPr>
            <w:tcW w:w="1063" w:type="dxa"/>
            <w:noWrap/>
          </w:tcPr>
          <w:p w14:paraId="280CE44F" w14:textId="77777777" w:rsidR="00A37447" w:rsidRDefault="00A37447">
            <w:pPr>
              <w:keepNext/>
              <w:spacing w:after="20"/>
              <w:jc w:val="right"/>
            </w:pPr>
            <w:r>
              <w:rPr>
                <w:sz w:val="16"/>
              </w:rPr>
              <w:t>-1,3 %</w:t>
            </w:r>
          </w:p>
        </w:tc>
        <w:tc>
          <w:tcPr>
            <w:tcW w:w="1063" w:type="dxa"/>
            <w:noWrap/>
          </w:tcPr>
          <w:p w14:paraId="119F6838" w14:textId="77777777" w:rsidR="00A37447" w:rsidRDefault="00A37447">
            <w:pPr>
              <w:keepNext/>
              <w:spacing w:after="20"/>
              <w:jc w:val="right"/>
            </w:pPr>
            <w:r>
              <w:rPr>
                <w:sz w:val="16"/>
              </w:rPr>
              <w:t>-0,8 %</w:t>
            </w:r>
          </w:p>
        </w:tc>
      </w:tr>
      <w:tr w:rsidR="00855697" w14:paraId="77FE391D" w14:textId="77777777">
        <w:trPr>
          <w:cantSplit/>
        </w:trPr>
        <w:tc>
          <w:tcPr>
            <w:tcW w:w="1063" w:type="dxa"/>
          </w:tcPr>
          <w:p w14:paraId="31EB248E" w14:textId="77777777" w:rsidR="00A37447" w:rsidRDefault="00A37447">
            <w:pPr>
              <w:keepNext/>
              <w:spacing w:after="20"/>
            </w:pPr>
            <w:r>
              <w:rPr>
                <w:sz w:val="17"/>
              </w:rPr>
              <w:t>Cat. B - Comercial</w:t>
            </w:r>
          </w:p>
        </w:tc>
        <w:tc>
          <w:tcPr>
            <w:tcW w:w="1063" w:type="dxa"/>
            <w:noWrap/>
          </w:tcPr>
          <w:p w14:paraId="24E635A7" w14:textId="77777777" w:rsidR="00A37447" w:rsidRDefault="00A37447">
            <w:pPr>
              <w:keepNext/>
              <w:spacing w:after="20"/>
              <w:jc w:val="right"/>
            </w:pPr>
            <w:r>
              <w:rPr>
                <w:sz w:val="16"/>
              </w:rPr>
              <w:t>7,9</w:t>
            </w:r>
          </w:p>
        </w:tc>
        <w:tc>
          <w:tcPr>
            <w:tcW w:w="1063" w:type="dxa"/>
            <w:noWrap/>
          </w:tcPr>
          <w:p w14:paraId="2EA507E2" w14:textId="77777777" w:rsidR="00A37447" w:rsidRDefault="00A37447">
            <w:pPr>
              <w:keepNext/>
              <w:spacing w:after="20"/>
              <w:jc w:val="right"/>
            </w:pPr>
            <w:r>
              <w:rPr>
                <w:sz w:val="16"/>
              </w:rPr>
              <w:t>8,4</w:t>
            </w:r>
          </w:p>
        </w:tc>
        <w:tc>
          <w:tcPr>
            <w:tcW w:w="1063" w:type="dxa"/>
            <w:noWrap/>
          </w:tcPr>
          <w:p w14:paraId="0C2C3622" w14:textId="77777777" w:rsidR="00A37447" w:rsidRDefault="00A37447">
            <w:pPr>
              <w:keepNext/>
              <w:spacing w:after="20"/>
              <w:jc w:val="right"/>
            </w:pPr>
            <w:r>
              <w:rPr>
                <w:sz w:val="16"/>
              </w:rPr>
              <w:t>9,0</w:t>
            </w:r>
          </w:p>
        </w:tc>
        <w:tc>
          <w:tcPr>
            <w:tcW w:w="1063" w:type="dxa"/>
            <w:noWrap/>
          </w:tcPr>
          <w:p w14:paraId="17255F57" w14:textId="77777777" w:rsidR="00A37447" w:rsidRDefault="00A37447">
            <w:pPr>
              <w:keepNext/>
              <w:spacing w:after="20"/>
              <w:jc w:val="right"/>
            </w:pPr>
            <w:r>
              <w:rPr>
                <w:sz w:val="16"/>
              </w:rPr>
              <w:t>8,5</w:t>
            </w:r>
          </w:p>
        </w:tc>
        <w:tc>
          <w:tcPr>
            <w:tcW w:w="1063" w:type="dxa"/>
            <w:noWrap/>
          </w:tcPr>
          <w:p w14:paraId="0FC74DCC" w14:textId="77777777" w:rsidR="00A37447" w:rsidRDefault="00A37447">
            <w:pPr>
              <w:keepNext/>
              <w:spacing w:after="20"/>
              <w:jc w:val="right"/>
            </w:pPr>
            <w:r>
              <w:rPr>
                <w:sz w:val="16"/>
              </w:rPr>
              <w:t>8,4</w:t>
            </w:r>
          </w:p>
        </w:tc>
        <w:tc>
          <w:tcPr>
            <w:tcW w:w="1063" w:type="dxa"/>
            <w:noWrap/>
          </w:tcPr>
          <w:p w14:paraId="6C003FA2" w14:textId="77777777" w:rsidR="00A37447" w:rsidRDefault="00A37447">
            <w:pPr>
              <w:keepNext/>
              <w:spacing w:after="20"/>
              <w:jc w:val="right"/>
            </w:pPr>
            <w:r>
              <w:rPr>
                <w:sz w:val="16"/>
              </w:rPr>
              <w:t>-1,0 %</w:t>
            </w:r>
          </w:p>
        </w:tc>
        <w:tc>
          <w:tcPr>
            <w:tcW w:w="1063" w:type="dxa"/>
            <w:noWrap/>
          </w:tcPr>
          <w:p w14:paraId="6096105A" w14:textId="77777777" w:rsidR="00A37447" w:rsidRDefault="00A37447">
            <w:pPr>
              <w:keepNext/>
              <w:spacing w:after="20"/>
              <w:jc w:val="right"/>
            </w:pPr>
            <w:r>
              <w:rPr>
                <w:sz w:val="16"/>
              </w:rPr>
              <w:t>1,6 %</w:t>
            </w:r>
          </w:p>
        </w:tc>
      </w:tr>
      <w:tr w:rsidR="00855697" w14:paraId="5243F061" w14:textId="77777777">
        <w:trPr>
          <w:cantSplit/>
        </w:trPr>
        <w:tc>
          <w:tcPr>
            <w:tcW w:w="1063" w:type="dxa"/>
          </w:tcPr>
          <w:p w14:paraId="6EE2075E" w14:textId="77777777" w:rsidR="00A37447" w:rsidRDefault="00A37447">
            <w:pPr>
              <w:keepNext/>
              <w:spacing w:after="20"/>
            </w:pPr>
            <w:r>
              <w:rPr>
                <w:sz w:val="17"/>
              </w:rPr>
              <w:t>Cat. C - Comercial</w:t>
            </w:r>
          </w:p>
        </w:tc>
        <w:tc>
          <w:tcPr>
            <w:tcW w:w="1063" w:type="dxa"/>
            <w:noWrap/>
          </w:tcPr>
          <w:p w14:paraId="70418879" w14:textId="77777777" w:rsidR="00A37447" w:rsidRDefault="00A37447">
            <w:pPr>
              <w:keepNext/>
              <w:spacing w:after="20"/>
              <w:jc w:val="right"/>
            </w:pPr>
            <w:r>
              <w:rPr>
                <w:sz w:val="16"/>
              </w:rPr>
              <w:t>6,3</w:t>
            </w:r>
          </w:p>
        </w:tc>
        <w:tc>
          <w:tcPr>
            <w:tcW w:w="1063" w:type="dxa"/>
            <w:noWrap/>
          </w:tcPr>
          <w:p w14:paraId="1D1D7661" w14:textId="77777777" w:rsidR="00A37447" w:rsidRDefault="00A37447">
            <w:pPr>
              <w:keepNext/>
              <w:spacing w:after="20"/>
              <w:jc w:val="right"/>
            </w:pPr>
            <w:r>
              <w:rPr>
                <w:sz w:val="16"/>
              </w:rPr>
              <w:t>6,6</w:t>
            </w:r>
          </w:p>
        </w:tc>
        <w:tc>
          <w:tcPr>
            <w:tcW w:w="1063" w:type="dxa"/>
            <w:noWrap/>
          </w:tcPr>
          <w:p w14:paraId="0E533AC9" w14:textId="77777777" w:rsidR="00A37447" w:rsidRDefault="00A37447">
            <w:pPr>
              <w:keepNext/>
              <w:spacing w:after="20"/>
              <w:jc w:val="right"/>
            </w:pPr>
            <w:r>
              <w:rPr>
                <w:sz w:val="16"/>
              </w:rPr>
              <w:t>7,1</w:t>
            </w:r>
          </w:p>
        </w:tc>
        <w:tc>
          <w:tcPr>
            <w:tcW w:w="1063" w:type="dxa"/>
            <w:noWrap/>
          </w:tcPr>
          <w:p w14:paraId="2A02F8CD" w14:textId="77777777" w:rsidR="00A37447" w:rsidRDefault="00A37447">
            <w:pPr>
              <w:keepNext/>
              <w:spacing w:after="20"/>
              <w:jc w:val="right"/>
            </w:pPr>
            <w:r>
              <w:rPr>
                <w:sz w:val="16"/>
              </w:rPr>
              <w:t>6,8</w:t>
            </w:r>
          </w:p>
        </w:tc>
        <w:tc>
          <w:tcPr>
            <w:tcW w:w="1063" w:type="dxa"/>
            <w:noWrap/>
          </w:tcPr>
          <w:p w14:paraId="4F0FAAC3" w14:textId="77777777" w:rsidR="00A37447" w:rsidRDefault="00A37447">
            <w:pPr>
              <w:keepNext/>
              <w:spacing w:after="20"/>
              <w:jc w:val="right"/>
            </w:pPr>
            <w:r>
              <w:rPr>
                <w:sz w:val="16"/>
              </w:rPr>
              <w:t>6,8</w:t>
            </w:r>
          </w:p>
        </w:tc>
        <w:tc>
          <w:tcPr>
            <w:tcW w:w="1063" w:type="dxa"/>
            <w:noWrap/>
          </w:tcPr>
          <w:p w14:paraId="2716CFF6" w14:textId="77777777" w:rsidR="00A37447" w:rsidRDefault="00A37447">
            <w:pPr>
              <w:keepNext/>
              <w:spacing w:after="20"/>
              <w:jc w:val="right"/>
            </w:pPr>
            <w:r>
              <w:rPr>
                <w:sz w:val="16"/>
              </w:rPr>
              <w:t>-0,7 %</w:t>
            </w:r>
          </w:p>
        </w:tc>
        <w:tc>
          <w:tcPr>
            <w:tcW w:w="1063" w:type="dxa"/>
            <w:noWrap/>
          </w:tcPr>
          <w:p w14:paraId="3134D108" w14:textId="77777777" w:rsidR="00A37447" w:rsidRDefault="00A37447">
            <w:pPr>
              <w:keepNext/>
              <w:spacing w:after="20"/>
              <w:jc w:val="right"/>
            </w:pPr>
            <w:r>
              <w:rPr>
                <w:sz w:val="16"/>
              </w:rPr>
              <w:t>2,1 %</w:t>
            </w:r>
          </w:p>
        </w:tc>
      </w:tr>
      <w:tr w:rsidR="00855697" w14:paraId="44BAD783" w14:textId="77777777">
        <w:trPr>
          <w:cantSplit/>
        </w:trPr>
        <w:tc>
          <w:tcPr>
            <w:tcW w:w="1063" w:type="dxa"/>
          </w:tcPr>
          <w:p w14:paraId="1369963A" w14:textId="77777777" w:rsidR="00A37447" w:rsidRDefault="00A37447">
            <w:pPr>
              <w:keepNext/>
              <w:spacing w:after="20"/>
            </w:pPr>
            <w:r>
              <w:rPr>
                <w:sz w:val="17"/>
              </w:rPr>
              <w:t>Cat. D - GNV</w:t>
            </w:r>
          </w:p>
        </w:tc>
        <w:tc>
          <w:tcPr>
            <w:tcW w:w="1063" w:type="dxa"/>
            <w:noWrap/>
          </w:tcPr>
          <w:p w14:paraId="54B4F281" w14:textId="77777777" w:rsidR="00A37447" w:rsidRDefault="00A37447">
            <w:pPr>
              <w:keepNext/>
              <w:spacing w:after="20"/>
              <w:jc w:val="right"/>
            </w:pPr>
            <w:r>
              <w:rPr>
                <w:sz w:val="16"/>
              </w:rPr>
              <w:t>6,0</w:t>
            </w:r>
          </w:p>
        </w:tc>
        <w:tc>
          <w:tcPr>
            <w:tcW w:w="1063" w:type="dxa"/>
            <w:noWrap/>
          </w:tcPr>
          <w:p w14:paraId="3CC82AFC" w14:textId="77777777" w:rsidR="00A37447" w:rsidRDefault="00A37447">
            <w:pPr>
              <w:keepNext/>
              <w:spacing w:after="20"/>
              <w:jc w:val="right"/>
            </w:pPr>
            <w:r>
              <w:rPr>
                <w:sz w:val="16"/>
              </w:rPr>
              <w:t>6,3</w:t>
            </w:r>
          </w:p>
        </w:tc>
        <w:tc>
          <w:tcPr>
            <w:tcW w:w="1063" w:type="dxa"/>
            <w:noWrap/>
          </w:tcPr>
          <w:p w14:paraId="6625E381" w14:textId="77777777" w:rsidR="00A37447" w:rsidRDefault="00A37447">
            <w:pPr>
              <w:keepNext/>
              <w:spacing w:after="20"/>
              <w:jc w:val="right"/>
            </w:pPr>
            <w:r>
              <w:rPr>
                <w:sz w:val="16"/>
              </w:rPr>
              <w:t>6,8</w:t>
            </w:r>
          </w:p>
        </w:tc>
        <w:tc>
          <w:tcPr>
            <w:tcW w:w="1063" w:type="dxa"/>
            <w:noWrap/>
          </w:tcPr>
          <w:p w14:paraId="5695C386" w14:textId="77777777" w:rsidR="00A37447" w:rsidRDefault="00A37447">
            <w:pPr>
              <w:keepNext/>
              <w:spacing w:after="20"/>
              <w:jc w:val="right"/>
            </w:pPr>
            <w:r>
              <w:rPr>
                <w:sz w:val="16"/>
              </w:rPr>
              <w:t>6,6</w:t>
            </w:r>
          </w:p>
        </w:tc>
        <w:tc>
          <w:tcPr>
            <w:tcW w:w="1063" w:type="dxa"/>
            <w:noWrap/>
          </w:tcPr>
          <w:p w14:paraId="4A7AC897" w14:textId="77777777" w:rsidR="00A37447" w:rsidRDefault="00A37447">
            <w:pPr>
              <w:keepNext/>
              <w:spacing w:after="20"/>
              <w:jc w:val="right"/>
            </w:pPr>
            <w:r>
              <w:rPr>
                <w:sz w:val="16"/>
              </w:rPr>
              <w:t>6,6</w:t>
            </w:r>
          </w:p>
        </w:tc>
        <w:tc>
          <w:tcPr>
            <w:tcW w:w="1063" w:type="dxa"/>
            <w:noWrap/>
          </w:tcPr>
          <w:p w14:paraId="636E2BAF" w14:textId="77777777" w:rsidR="00A37447" w:rsidRDefault="00A37447">
            <w:pPr>
              <w:keepNext/>
              <w:spacing w:after="20"/>
              <w:jc w:val="right"/>
            </w:pPr>
            <w:r>
              <w:rPr>
                <w:sz w:val="16"/>
              </w:rPr>
              <w:t>-0,6 %</w:t>
            </w:r>
          </w:p>
        </w:tc>
        <w:tc>
          <w:tcPr>
            <w:tcW w:w="1063" w:type="dxa"/>
            <w:noWrap/>
          </w:tcPr>
          <w:p w14:paraId="148EC8D2" w14:textId="77777777" w:rsidR="00A37447" w:rsidRDefault="00A37447">
            <w:pPr>
              <w:keepNext/>
              <w:spacing w:after="20"/>
              <w:jc w:val="right"/>
            </w:pPr>
            <w:r>
              <w:rPr>
                <w:sz w:val="16"/>
              </w:rPr>
              <w:t>2,4 %</w:t>
            </w:r>
          </w:p>
        </w:tc>
      </w:tr>
      <w:tr w:rsidR="00855697" w14:paraId="34444958" w14:textId="77777777">
        <w:trPr>
          <w:cantSplit/>
        </w:trPr>
        <w:tc>
          <w:tcPr>
            <w:tcW w:w="1063" w:type="dxa"/>
          </w:tcPr>
          <w:p w14:paraId="4EEA9168" w14:textId="77777777" w:rsidR="00A37447" w:rsidRDefault="00A37447">
            <w:pPr>
              <w:keepNext/>
              <w:spacing w:after="20"/>
            </w:pPr>
            <w:r>
              <w:rPr>
                <w:sz w:val="17"/>
              </w:rPr>
              <w:t>Cat. D - Industrial</w:t>
            </w:r>
          </w:p>
        </w:tc>
        <w:tc>
          <w:tcPr>
            <w:tcW w:w="1063" w:type="dxa"/>
            <w:noWrap/>
          </w:tcPr>
          <w:p w14:paraId="17D9344D" w14:textId="77777777" w:rsidR="00A37447" w:rsidRDefault="00A37447">
            <w:pPr>
              <w:keepNext/>
              <w:spacing w:after="20"/>
              <w:jc w:val="right"/>
            </w:pPr>
            <w:r>
              <w:rPr>
                <w:sz w:val="16"/>
              </w:rPr>
              <w:t>5,8</w:t>
            </w:r>
          </w:p>
        </w:tc>
        <w:tc>
          <w:tcPr>
            <w:tcW w:w="1063" w:type="dxa"/>
            <w:noWrap/>
          </w:tcPr>
          <w:p w14:paraId="02B82892" w14:textId="77777777" w:rsidR="00A37447" w:rsidRDefault="00A37447">
            <w:pPr>
              <w:keepNext/>
              <w:spacing w:after="20"/>
              <w:jc w:val="right"/>
            </w:pPr>
            <w:r>
              <w:rPr>
                <w:sz w:val="16"/>
              </w:rPr>
              <w:t>6,1</w:t>
            </w:r>
          </w:p>
        </w:tc>
        <w:tc>
          <w:tcPr>
            <w:tcW w:w="1063" w:type="dxa"/>
            <w:noWrap/>
          </w:tcPr>
          <w:p w14:paraId="6DF91E29" w14:textId="77777777" w:rsidR="00A37447" w:rsidRDefault="00A37447">
            <w:pPr>
              <w:keepNext/>
              <w:spacing w:after="20"/>
              <w:jc w:val="right"/>
            </w:pPr>
            <w:r>
              <w:rPr>
                <w:sz w:val="16"/>
              </w:rPr>
              <w:t>6,6</w:t>
            </w:r>
          </w:p>
        </w:tc>
        <w:tc>
          <w:tcPr>
            <w:tcW w:w="1063" w:type="dxa"/>
            <w:noWrap/>
          </w:tcPr>
          <w:p w14:paraId="090702C9" w14:textId="77777777" w:rsidR="00A37447" w:rsidRDefault="00A37447">
            <w:pPr>
              <w:keepNext/>
              <w:spacing w:after="20"/>
              <w:jc w:val="right"/>
            </w:pPr>
            <w:r>
              <w:rPr>
                <w:sz w:val="16"/>
              </w:rPr>
              <w:t>6,4</w:t>
            </w:r>
          </w:p>
        </w:tc>
        <w:tc>
          <w:tcPr>
            <w:tcW w:w="1063" w:type="dxa"/>
            <w:noWrap/>
          </w:tcPr>
          <w:p w14:paraId="6D02952F" w14:textId="77777777" w:rsidR="00A37447" w:rsidRDefault="00A37447">
            <w:pPr>
              <w:keepNext/>
              <w:spacing w:after="20"/>
              <w:jc w:val="right"/>
            </w:pPr>
            <w:r>
              <w:rPr>
                <w:sz w:val="16"/>
              </w:rPr>
              <w:t>6,4</w:t>
            </w:r>
          </w:p>
        </w:tc>
        <w:tc>
          <w:tcPr>
            <w:tcW w:w="1063" w:type="dxa"/>
            <w:noWrap/>
          </w:tcPr>
          <w:p w14:paraId="172226CF" w14:textId="77777777" w:rsidR="00A37447" w:rsidRDefault="00A37447">
            <w:pPr>
              <w:keepNext/>
              <w:spacing w:after="20"/>
              <w:jc w:val="right"/>
            </w:pPr>
            <w:r>
              <w:rPr>
                <w:sz w:val="16"/>
              </w:rPr>
              <w:t>-0,6 %</w:t>
            </w:r>
          </w:p>
        </w:tc>
        <w:tc>
          <w:tcPr>
            <w:tcW w:w="1063" w:type="dxa"/>
            <w:noWrap/>
          </w:tcPr>
          <w:p w14:paraId="14379B0F" w14:textId="77777777" w:rsidR="00A37447" w:rsidRDefault="00A37447">
            <w:pPr>
              <w:keepNext/>
              <w:spacing w:after="20"/>
              <w:jc w:val="right"/>
            </w:pPr>
            <w:r>
              <w:rPr>
                <w:sz w:val="16"/>
              </w:rPr>
              <w:t>2,4 %</w:t>
            </w:r>
          </w:p>
        </w:tc>
      </w:tr>
      <w:tr w:rsidR="00855697" w14:paraId="24893056" w14:textId="77777777">
        <w:trPr>
          <w:cantSplit/>
        </w:trPr>
        <w:tc>
          <w:tcPr>
            <w:tcW w:w="1063" w:type="dxa"/>
          </w:tcPr>
          <w:p w14:paraId="3ABE85F8" w14:textId="77777777" w:rsidR="00A37447" w:rsidRDefault="00A37447">
            <w:pPr>
              <w:keepNext/>
              <w:spacing w:after="20"/>
            </w:pPr>
            <w:r>
              <w:rPr>
                <w:sz w:val="17"/>
              </w:rPr>
              <w:t>Cat. E - Industrial</w:t>
            </w:r>
          </w:p>
        </w:tc>
        <w:tc>
          <w:tcPr>
            <w:tcW w:w="1063" w:type="dxa"/>
            <w:noWrap/>
          </w:tcPr>
          <w:p w14:paraId="3A263C22" w14:textId="77777777" w:rsidR="00A37447" w:rsidRDefault="00A37447">
            <w:pPr>
              <w:keepNext/>
              <w:spacing w:after="20"/>
              <w:jc w:val="right"/>
            </w:pPr>
            <w:r>
              <w:rPr>
                <w:sz w:val="16"/>
              </w:rPr>
              <w:t>6,2</w:t>
            </w:r>
          </w:p>
        </w:tc>
        <w:tc>
          <w:tcPr>
            <w:tcW w:w="1063" w:type="dxa"/>
            <w:noWrap/>
          </w:tcPr>
          <w:p w14:paraId="67DDB14D" w14:textId="77777777" w:rsidR="00A37447" w:rsidRDefault="00A37447">
            <w:pPr>
              <w:keepNext/>
              <w:spacing w:after="20"/>
              <w:jc w:val="right"/>
            </w:pPr>
            <w:r>
              <w:rPr>
                <w:sz w:val="16"/>
              </w:rPr>
              <w:t>5,0</w:t>
            </w:r>
          </w:p>
        </w:tc>
        <w:tc>
          <w:tcPr>
            <w:tcW w:w="1063" w:type="dxa"/>
            <w:noWrap/>
          </w:tcPr>
          <w:p w14:paraId="3EE7C5B8" w14:textId="77777777" w:rsidR="00A37447" w:rsidRDefault="00A37447">
            <w:pPr>
              <w:keepNext/>
              <w:spacing w:after="20"/>
              <w:jc w:val="right"/>
            </w:pPr>
            <w:r>
              <w:rPr>
                <w:sz w:val="16"/>
              </w:rPr>
              <w:t>7,1</w:t>
            </w:r>
          </w:p>
        </w:tc>
        <w:tc>
          <w:tcPr>
            <w:tcW w:w="1063" w:type="dxa"/>
            <w:noWrap/>
          </w:tcPr>
          <w:p w14:paraId="5C98E927" w14:textId="77777777" w:rsidR="00A37447" w:rsidRDefault="00A37447">
            <w:pPr>
              <w:keepNext/>
              <w:spacing w:after="20"/>
              <w:jc w:val="right"/>
            </w:pPr>
            <w:r>
              <w:rPr>
                <w:sz w:val="16"/>
              </w:rPr>
              <w:t>6,9</w:t>
            </w:r>
          </w:p>
        </w:tc>
        <w:tc>
          <w:tcPr>
            <w:tcW w:w="1063" w:type="dxa"/>
            <w:noWrap/>
          </w:tcPr>
          <w:p w14:paraId="713557AE" w14:textId="77777777" w:rsidR="00A37447" w:rsidRDefault="00A37447">
            <w:pPr>
              <w:keepNext/>
              <w:spacing w:after="20"/>
              <w:jc w:val="right"/>
            </w:pPr>
            <w:r>
              <w:rPr>
                <w:sz w:val="16"/>
              </w:rPr>
              <w:t>6,9</w:t>
            </w:r>
          </w:p>
        </w:tc>
        <w:tc>
          <w:tcPr>
            <w:tcW w:w="1063" w:type="dxa"/>
            <w:noWrap/>
          </w:tcPr>
          <w:p w14:paraId="2671983D" w14:textId="77777777" w:rsidR="00A37447" w:rsidRDefault="00A37447">
            <w:pPr>
              <w:keepNext/>
              <w:spacing w:after="20"/>
              <w:jc w:val="right"/>
            </w:pPr>
            <w:r>
              <w:rPr>
                <w:sz w:val="16"/>
              </w:rPr>
              <w:t>-0,7 %</w:t>
            </w:r>
          </w:p>
        </w:tc>
        <w:tc>
          <w:tcPr>
            <w:tcW w:w="1063" w:type="dxa"/>
            <w:noWrap/>
          </w:tcPr>
          <w:p w14:paraId="6EEA1088" w14:textId="77777777" w:rsidR="00A37447" w:rsidRDefault="00A37447">
            <w:pPr>
              <w:keepNext/>
              <w:spacing w:after="20"/>
              <w:jc w:val="right"/>
            </w:pPr>
            <w:r>
              <w:rPr>
                <w:sz w:val="16"/>
              </w:rPr>
              <w:t>2,7 %</w:t>
            </w:r>
          </w:p>
        </w:tc>
      </w:tr>
      <w:tr w:rsidR="00855697" w14:paraId="5FD7DDBB" w14:textId="77777777">
        <w:trPr>
          <w:cantSplit/>
        </w:trPr>
        <w:tc>
          <w:tcPr>
            <w:tcW w:w="1063" w:type="dxa"/>
          </w:tcPr>
          <w:p w14:paraId="3E1021B1" w14:textId="77777777" w:rsidR="00A37447" w:rsidRDefault="00A37447">
            <w:pPr>
              <w:keepNext/>
              <w:spacing w:after="20"/>
            </w:pPr>
            <w:r>
              <w:rPr>
                <w:sz w:val="17"/>
              </w:rPr>
              <w:t>Cat. GE - Generadores eléctricos</w:t>
            </w:r>
          </w:p>
        </w:tc>
        <w:tc>
          <w:tcPr>
            <w:tcW w:w="1063" w:type="dxa"/>
            <w:noWrap/>
          </w:tcPr>
          <w:p w14:paraId="0BE963F6" w14:textId="77777777" w:rsidR="00A37447" w:rsidRDefault="00A37447">
            <w:pPr>
              <w:keepNext/>
              <w:spacing w:after="20"/>
              <w:jc w:val="right"/>
            </w:pPr>
            <w:r>
              <w:rPr>
                <w:sz w:val="16"/>
              </w:rPr>
              <w:t>4,3</w:t>
            </w:r>
          </w:p>
        </w:tc>
        <w:tc>
          <w:tcPr>
            <w:tcW w:w="1063" w:type="dxa"/>
            <w:noWrap/>
          </w:tcPr>
          <w:p w14:paraId="13AC93FC" w14:textId="77777777" w:rsidR="00A37447" w:rsidRDefault="00A37447">
            <w:pPr>
              <w:keepNext/>
              <w:spacing w:after="20"/>
              <w:jc w:val="right"/>
            </w:pPr>
            <w:r>
              <w:rPr>
                <w:sz w:val="16"/>
              </w:rPr>
              <w:t>4,6</w:t>
            </w:r>
          </w:p>
        </w:tc>
        <w:tc>
          <w:tcPr>
            <w:tcW w:w="1063" w:type="dxa"/>
            <w:noWrap/>
          </w:tcPr>
          <w:p w14:paraId="5EB5E630" w14:textId="77777777" w:rsidR="00A37447" w:rsidRDefault="00A37447">
            <w:pPr>
              <w:keepNext/>
              <w:spacing w:after="20"/>
              <w:jc w:val="right"/>
            </w:pPr>
            <w:r>
              <w:rPr>
                <w:sz w:val="16"/>
              </w:rPr>
              <w:t>4,9</w:t>
            </w:r>
          </w:p>
        </w:tc>
        <w:tc>
          <w:tcPr>
            <w:tcW w:w="1063" w:type="dxa"/>
            <w:noWrap/>
          </w:tcPr>
          <w:p w14:paraId="034CAFC2" w14:textId="77777777" w:rsidR="00A37447" w:rsidRDefault="00A37447">
            <w:pPr>
              <w:keepNext/>
              <w:spacing w:after="20"/>
              <w:jc w:val="right"/>
            </w:pPr>
            <w:r>
              <w:rPr>
                <w:sz w:val="16"/>
              </w:rPr>
              <w:t>4,7</w:t>
            </w:r>
          </w:p>
        </w:tc>
        <w:tc>
          <w:tcPr>
            <w:tcW w:w="1063" w:type="dxa"/>
            <w:noWrap/>
          </w:tcPr>
          <w:p w14:paraId="2FFF63AB" w14:textId="77777777" w:rsidR="00A37447" w:rsidRDefault="00A37447">
            <w:pPr>
              <w:keepNext/>
              <w:spacing w:after="20"/>
              <w:jc w:val="right"/>
            </w:pPr>
            <w:r>
              <w:rPr>
                <w:sz w:val="16"/>
              </w:rPr>
              <w:t>4,7</w:t>
            </w:r>
          </w:p>
        </w:tc>
        <w:tc>
          <w:tcPr>
            <w:tcW w:w="1063" w:type="dxa"/>
            <w:noWrap/>
          </w:tcPr>
          <w:p w14:paraId="739F67D2" w14:textId="77777777" w:rsidR="00A37447" w:rsidRDefault="00A37447">
            <w:pPr>
              <w:keepNext/>
              <w:spacing w:after="20"/>
              <w:jc w:val="right"/>
            </w:pPr>
            <w:r>
              <w:rPr>
                <w:sz w:val="16"/>
              </w:rPr>
              <w:t>-1,0 %</w:t>
            </w:r>
          </w:p>
        </w:tc>
        <w:tc>
          <w:tcPr>
            <w:tcW w:w="1063" w:type="dxa"/>
            <w:noWrap/>
          </w:tcPr>
          <w:p w14:paraId="455EC5D2" w14:textId="77777777" w:rsidR="00A37447" w:rsidRDefault="00A37447">
            <w:pPr>
              <w:keepNext/>
              <w:spacing w:after="20"/>
              <w:jc w:val="right"/>
            </w:pPr>
            <w:r>
              <w:rPr>
                <w:sz w:val="16"/>
              </w:rPr>
              <w:t>1,9 %</w:t>
            </w:r>
          </w:p>
        </w:tc>
      </w:tr>
    </w:tbl>
    <w:p w14:paraId="776243F8" w14:textId="77777777" w:rsidR="00A37447" w:rsidRPr="0036111A" w:rsidRDefault="00A37447">
      <w:pPr>
        <w:keepLines/>
        <w:spacing w:before="40"/>
        <w:jc w:val="right"/>
        <w:rPr>
          <w:lang w:val="es-PE"/>
        </w:rPr>
      </w:pPr>
      <w:r w:rsidRPr="0036111A">
        <w:rPr>
          <w:b/>
          <w:color w:val="404040"/>
          <w:sz w:val="15"/>
          <w:lang w:val="es-PE"/>
        </w:rPr>
        <w:t>FUENTE: Osinergmin, empresas del sector, APOYO Consultoría</w:t>
      </w:r>
    </w:p>
    <w:p w14:paraId="0FD676A9" w14:textId="363AB88B" w:rsidR="00A37447" w:rsidRDefault="00A37447">
      <w:pPr>
        <w:spacing w:before="160"/>
        <w:jc w:val="center"/>
      </w:pPr>
      <w:r>
        <w:rPr>
          <w:noProof/>
        </w:rPr>
        <w:drawing>
          <wp:inline distT="0" distB="0" distL="0" distR="0" wp14:anchorId="6B6CBBCB" wp14:editId="456D5614">
            <wp:extent cx="4320000" cy="2961315"/>
            <wp:effectExtent l="0" t="0" r="0" b="0"/>
            <wp:docPr id="2110891815" name="Imagen 211089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65.png"/>
                    <pic:cNvPicPr/>
                  </pic:nvPicPr>
                  <pic:blipFill>
                    <a:blip r:embed="rId78"/>
                    <a:stretch>
                      <a:fillRect/>
                    </a:stretch>
                  </pic:blipFill>
                  <pic:spPr>
                    <a:xfrm>
                      <a:off x="0" y="0"/>
                      <a:ext cx="4320000" cy="2961315"/>
                    </a:xfrm>
                    <a:prstGeom prst="rect">
                      <a:avLst/>
                    </a:prstGeom>
                  </pic:spPr>
                </pic:pic>
              </a:graphicData>
            </a:graphic>
          </wp:inline>
        </w:drawing>
      </w:r>
    </w:p>
    <w:p w14:paraId="3192E4B9" w14:textId="77777777" w:rsidR="00A37447" w:rsidRPr="0036111A" w:rsidRDefault="00A37447">
      <w:pPr>
        <w:pStyle w:val="Ttulo4"/>
        <w:pageBreakBefore/>
        <w:rPr>
          <w:lang w:val="es-PE"/>
        </w:rPr>
      </w:pPr>
      <w:bookmarkStart w:id="25" w:name="_Toc235083035"/>
      <w:r w:rsidRPr="0036111A">
        <w:rPr>
          <w:lang w:val="es-PE"/>
        </w:rPr>
        <w:lastRenderedPageBreak/>
        <w:t>3.2.8.2. Gases del Pacífico (Quavii)</w:t>
      </w:r>
      <w:bookmarkEnd w:id="25"/>
    </w:p>
    <w:p w14:paraId="6B5D50F1" w14:textId="17B85463" w:rsidR="00A37447" w:rsidRPr="0036111A" w:rsidRDefault="00A37447">
      <w:pPr>
        <w:keepLines/>
        <w:spacing w:after="120"/>
        <w:rPr>
          <w:lang w:val="es-PE"/>
        </w:rPr>
      </w:pPr>
      <w:r w:rsidRPr="0036111A">
        <w:rPr>
          <w:lang w:val="es-PE"/>
        </w:rPr>
        <w:t xml:space="preserve">En la Concesión Norte, la fijación tarifaria 2025-2028 </w:t>
      </w:r>
      <w:r w:rsidR="00003176">
        <w:rPr>
          <w:lang w:val="es-PE"/>
        </w:rPr>
        <w:t xml:space="preserve">aprobó </w:t>
      </w:r>
      <w:r w:rsidRPr="0036111A">
        <w:rPr>
          <w:lang w:val="es-PE"/>
        </w:rPr>
        <w:t xml:space="preserve">la estructura de tarifas de Gases del Pacífico con una reducción </w:t>
      </w:r>
      <w:r w:rsidR="00003176">
        <w:rPr>
          <w:lang w:val="es-PE"/>
        </w:rPr>
        <w:t xml:space="preserve">significativa </w:t>
      </w:r>
      <w:r w:rsidRPr="0036111A">
        <w:rPr>
          <w:lang w:val="es-PE"/>
        </w:rPr>
        <w:t>de la mayoría de ellas. La tarifa residencial (categoría I) cayó cerca de 27 %, la comercial más de 30 %, la de la industria mediana alrededor de 23 % y la de pesca 12 %. Las excepciones fueron la gran industria, cuya tarifa se mantuvo en soles –el alza cercana a 11 % en dólares se explica únicamente por la apreciación del sol–, y el GNV, que con la nueva estructura subió 19 % en dólares (cerca de 8 % en soles). Se trata de una reducción artificial, que no obedece a menores costos de prestación del servicio</w:t>
      </w:r>
      <w:r>
        <w:rPr>
          <w:lang w:val="es-PE"/>
        </w:rPr>
        <w:t>,</w:t>
      </w:r>
      <w:r w:rsidRPr="0036111A">
        <w:rPr>
          <w:lang w:val="es-PE"/>
        </w:rPr>
        <w:t xml:space="preserve"> sino a que el regulador no reconoció parte de las inversiones</w:t>
      </w:r>
      <w:r w:rsidR="00B4606A">
        <w:rPr>
          <w:lang w:val="es-PE"/>
        </w:rPr>
        <w:t xml:space="preserve"> eficientes</w:t>
      </w:r>
      <w:r w:rsidRPr="0036111A">
        <w:rPr>
          <w:lang w:val="es-PE"/>
        </w:rPr>
        <w:t xml:space="preserve"> ejecutadas. Una tarifa que no remunera la base de inversión limita la expansión de redes y las nuevas conexiones, y</w:t>
      </w:r>
      <w:r>
        <w:rPr>
          <w:lang w:val="es-PE"/>
        </w:rPr>
        <w:t>,</w:t>
      </w:r>
      <w:r w:rsidRPr="0036111A">
        <w:rPr>
          <w:lang w:val="es-PE"/>
        </w:rPr>
        <w:t xml:space="preserve"> con ello</w:t>
      </w:r>
      <w:r>
        <w:rPr>
          <w:lang w:val="es-PE"/>
        </w:rPr>
        <w:t>,</w:t>
      </w:r>
      <w:r w:rsidRPr="0036111A">
        <w:rPr>
          <w:lang w:val="es-PE"/>
        </w:rPr>
        <w:t xml:space="preserve"> el ritmo de la masificación en la concesión.</w:t>
      </w:r>
    </w:p>
    <w:p w14:paraId="75F70F2E" w14:textId="77777777" w:rsidR="00A37447" w:rsidRPr="0036111A" w:rsidRDefault="00A37447">
      <w:pPr>
        <w:keepNext/>
        <w:keepLines/>
        <w:spacing w:before="160" w:after="20"/>
        <w:rPr>
          <w:lang w:val="es-PE"/>
        </w:rPr>
      </w:pPr>
      <w:r w:rsidRPr="0036111A">
        <w:rPr>
          <w:b/>
          <w:color w:val="00838F"/>
          <w:sz w:val="20"/>
          <w:lang w:val="es-PE"/>
        </w:rPr>
        <w:t>GASES DEL PACÍFICO: TARIFA COBRADA AL USUARIO FINAL</w:t>
      </w:r>
    </w:p>
    <w:p w14:paraId="220E4BA1" w14:textId="77777777" w:rsidR="00A37447" w:rsidRPr="0036111A" w:rsidRDefault="00A37447">
      <w:pPr>
        <w:keepNext/>
        <w:keepLines/>
        <w:spacing w:after="60"/>
        <w:rPr>
          <w:lang w:val="es-PE"/>
        </w:rPr>
      </w:pPr>
      <w:r w:rsidRPr="0036111A">
        <w:rPr>
          <w:i/>
          <w:sz w:val="17"/>
          <w:lang w:val="es-PE"/>
        </w:rPr>
        <w:t>US$ por millón de BTU; tarifas a diciembre de cada año</w:t>
      </w:r>
      <w:r>
        <w:rPr>
          <w:i/>
          <w:sz w:val="17"/>
          <w:lang w:val="es-PE"/>
        </w:rPr>
        <w:t>.</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436E19C4" w14:textId="77777777">
        <w:trPr>
          <w:cantSplit/>
          <w:tblHeader/>
        </w:trPr>
        <w:tc>
          <w:tcPr>
            <w:tcW w:w="1063" w:type="dxa"/>
            <w:shd w:val="clear" w:color="auto" w:fill="1F3864"/>
          </w:tcPr>
          <w:p w14:paraId="197812F7" w14:textId="77777777" w:rsidR="00A37447" w:rsidRDefault="00A37447">
            <w:pPr>
              <w:keepNext/>
            </w:pPr>
            <w:r>
              <w:rPr>
                <w:b/>
                <w:color w:val="FFFFFF"/>
                <w:sz w:val="17"/>
              </w:rPr>
              <w:t>Categoría</w:t>
            </w:r>
          </w:p>
        </w:tc>
        <w:tc>
          <w:tcPr>
            <w:tcW w:w="1063" w:type="dxa"/>
            <w:shd w:val="clear" w:color="auto" w:fill="1F3864"/>
            <w:noWrap/>
          </w:tcPr>
          <w:p w14:paraId="2E7C5F67" w14:textId="77777777" w:rsidR="00A37447" w:rsidRDefault="00A37447">
            <w:pPr>
              <w:keepNext/>
              <w:jc w:val="right"/>
            </w:pPr>
            <w:r>
              <w:rPr>
                <w:b/>
                <w:color w:val="FFFFFF"/>
                <w:sz w:val="17"/>
              </w:rPr>
              <w:t>2021</w:t>
            </w:r>
          </w:p>
        </w:tc>
        <w:tc>
          <w:tcPr>
            <w:tcW w:w="1063" w:type="dxa"/>
            <w:shd w:val="clear" w:color="auto" w:fill="1F3864"/>
            <w:noWrap/>
          </w:tcPr>
          <w:p w14:paraId="7464CBCE" w14:textId="77777777" w:rsidR="00A37447" w:rsidRDefault="00A37447">
            <w:pPr>
              <w:keepNext/>
              <w:jc w:val="right"/>
            </w:pPr>
            <w:r>
              <w:rPr>
                <w:b/>
                <w:color w:val="FFFFFF"/>
                <w:sz w:val="17"/>
              </w:rPr>
              <w:t>2022</w:t>
            </w:r>
          </w:p>
        </w:tc>
        <w:tc>
          <w:tcPr>
            <w:tcW w:w="1063" w:type="dxa"/>
            <w:shd w:val="clear" w:color="auto" w:fill="1F3864"/>
            <w:noWrap/>
          </w:tcPr>
          <w:p w14:paraId="59EB926C" w14:textId="77777777" w:rsidR="00A37447" w:rsidRDefault="00A37447">
            <w:pPr>
              <w:keepNext/>
              <w:jc w:val="right"/>
            </w:pPr>
            <w:r>
              <w:rPr>
                <w:b/>
                <w:color w:val="FFFFFF"/>
                <w:sz w:val="17"/>
              </w:rPr>
              <w:t>2023</w:t>
            </w:r>
          </w:p>
        </w:tc>
        <w:tc>
          <w:tcPr>
            <w:tcW w:w="1063" w:type="dxa"/>
            <w:shd w:val="clear" w:color="auto" w:fill="1F3864"/>
            <w:noWrap/>
          </w:tcPr>
          <w:p w14:paraId="3D5D2B5A" w14:textId="77777777" w:rsidR="00A37447" w:rsidRDefault="00A37447">
            <w:pPr>
              <w:keepNext/>
              <w:jc w:val="right"/>
            </w:pPr>
            <w:r>
              <w:rPr>
                <w:b/>
                <w:color w:val="FFFFFF"/>
                <w:sz w:val="17"/>
              </w:rPr>
              <w:t>2024</w:t>
            </w:r>
          </w:p>
        </w:tc>
        <w:tc>
          <w:tcPr>
            <w:tcW w:w="1063" w:type="dxa"/>
            <w:shd w:val="clear" w:color="auto" w:fill="1F3864"/>
            <w:noWrap/>
          </w:tcPr>
          <w:p w14:paraId="3A54E7AC" w14:textId="77777777" w:rsidR="00A37447" w:rsidRDefault="00A37447">
            <w:pPr>
              <w:keepNext/>
              <w:jc w:val="right"/>
            </w:pPr>
            <w:r>
              <w:rPr>
                <w:b/>
                <w:color w:val="FFFFFF"/>
                <w:sz w:val="17"/>
              </w:rPr>
              <w:t>2025</w:t>
            </w:r>
          </w:p>
        </w:tc>
        <w:tc>
          <w:tcPr>
            <w:tcW w:w="1063" w:type="dxa"/>
            <w:shd w:val="clear" w:color="auto" w:fill="1F3864"/>
          </w:tcPr>
          <w:p w14:paraId="6648925D" w14:textId="77777777" w:rsidR="00A37447" w:rsidRDefault="00A37447">
            <w:pPr>
              <w:keepNext/>
              <w:jc w:val="right"/>
            </w:pPr>
            <w:r>
              <w:rPr>
                <w:b/>
                <w:color w:val="FFFFFF"/>
                <w:sz w:val="17"/>
              </w:rPr>
              <w:t>Var. % 2025 vs 2024</w:t>
            </w:r>
          </w:p>
        </w:tc>
        <w:tc>
          <w:tcPr>
            <w:tcW w:w="1063" w:type="dxa"/>
            <w:shd w:val="clear" w:color="auto" w:fill="1F3864"/>
          </w:tcPr>
          <w:p w14:paraId="0923F4AC" w14:textId="77777777" w:rsidR="00A37447" w:rsidRDefault="00A37447">
            <w:pPr>
              <w:keepNext/>
              <w:jc w:val="right"/>
            </w:pPr>
            <w:r>
              <w:rPr>
                <w:b/>
                <w:color w:val="FFFFFF"/>
                <w:sz w:val="17"/>
              </w:rPr>
              <w:t>TACC 2021-2025</w:t>
            </w:r>
          </w:p>
        </w:tc>
      </w:tr>
      <w:tr w:rsidR="00855697" w14:paraId="27BF0B54" w14:textId="77777777">
        <w:trPr>
          <w:cantSplit/>
        </w:trPr>
        <w:tc>
          <w:tcPr>
            <w:tcW w:w="1063" w:type="dxa"/>
          </w:tcPr>
          <w:p w14:paraId="71DF3F47" w14:textId="77777777" w:rsidR="00A37447" w:rsidRDefault="00A37447">
            <w:pPr>
              <w:keepNext/>
              <w:spacing w:after="20"/>
            </w:pPr>
            <w:r>
              <w:rPr>
                <w:sz w:val="17"/>
              </w:rPr>
              <w:t>Cat. I - Residencial</w:t>
            </w:r>
          </w:p>
        </w:tc>
        <w:tc>
          <w:tcPr>
            <w:tcW w:w="1063" w:type="dxa"/>
            <w:noWrap/>
          </w:tcPr>
          <w:p w14:paraId="1C8B8726" w14:textId="77777777" w:rsidR="00A37447" w:rsidRDefault="00A37447">
            <w:pPr>
              <w:keepNext/>
              <w:spacing w:after="20"/>
              <w:jc w:val="right"/>
            </w:pPr>
            <w:r>
              <w:rPr>
                <w:sz w:val="16"/>
              </w:rPr>
              <w:t>17,0</w:t>
            </w:r>
          </w:p>
        </w:tc>
        <w:tc>
          <w:tcPr>
            <w:tcW w:w="1063" w:type="dxa"/>
            <w:noWrap/>
          </w:tcPr>
          <w:p w14:paraId="2FCC7620" w14:textId="77777777" w:rsidR="00A37447" w:rsidRDefault="00A37447">
            <w:pPr>
              <w:keepNext/>
              <w:spacing w:after="20"/>
              <w:jc w:val="right"/>
            </w:pPr>
            <w:r>
              <w:rPr>
                <w:sz w:val="16"/>
              </w:rPr>
              <w:t>19,7</w:t>
            </w:r>
          </w:p>
        </w:tc>
        <w:tc>
          <w:tcPr>
            <w:tcW w:w="1063" w:type="dxa"/>
            <w:noWrap/>
          </w:tcPr>
          <w:p w14:paraId="51DC81BD" w14:textId="77777777" w:rsidR="00A37447" w:rsidRDefault="00A37447">
            <w:pPr>
              <w:keepNext/>
              <w:spacing w:after="20"/>
              <w:jc w:val="right"/>
            </w:pPr>
            <w:r>
              <w:rPr>
                <w:sz w:val="16"/>
              </w:rPr>
              <w:t>21,1</w:t>
            </w:r>
          </w:p>
        </w:tc>
        <w:tc>
          <w:tcPr>
            <w:tcW w:w="1063" w:type="dxa"/>
            <w:noWrap/>
          </w:tcPr>
          <w:p w14:paraId="136A20E1" w14:textId="77777777" w:rsidR="00A37447" w:rsidRDefault="00A37447">
            <w:pPr>
              <w:keepNext/>
              <w:spacing w:after="20"/>
              <w:jc w:val="right"/>
            </w:pPr>
            <w:r>
              <w:rPr>
                <w:sz w:val="16"/>
              </w:rPr>
              <w:t>20,5</w:t>
            </w:r>
          </w:p>
        </w:tc>
        <w:tc>
          <w:tcPr>
            <w:tcW w:w="1063" w:type="dxa"/>
            <w:noWrap/>
          </w:tcPr>
          <w:p w14:paraId="697C1CD2" w14:textId="77777777" w:rsidR="00A37447" w:rsidRDefault="00A37447">
            <w:pPr>
              <w:keepNext/>
              <w:spacing w:after="20"/>
              <w:jc w:val="right"/>
            </w:pPr>
            <w:r>
              <w:rPr>
                <w:sz w:val="16"/>
              </w:rPr>
              <w:t>15,0</w:t>
            </w:r>
          </w:p>
        </w:tc>
        <w:tc>
          <w:tcPr>
            <w:tcW w:w="1063" w:type="dxa"/>
            <w:noWrap/>
          </w:tcPr>
          <w:p w14:paraId="596A9042" w14:textId="77777777" w:rsidR="00A37447" w:rsidRDefault="00A37447">
            <w:pPr>
              <w:keepNext/>
              <w:spacing w:after="20"/>
              <w:jc w:val="right"/>
            </w:pPr>
            <w:r>
              <w:rPr>
                <w:sz w:val="16"/>
              </w:rPr>
              <w:t>-26,7 %</w:t>
            </w:r>
          </w:p>
        </w:tc>
        <w:tc>
          <w:tcPr>
            <w:tcW w:w="1063" w:type="dxa"/>
            <w:noWrap/>
          </w:tcPr>
          <w:p w14:paraId="682D2A5C" w14:textId="77777777" w:rsidR="00A37447" w:rsidRDefault="00A37447">
            <w:pPr>
              <w:keepNext/>
              <w:spacing w:after="20"/>
              <w:jc w:val="right"/>
            </w:pPr>
            <w:r>
              <w:rPr>
                <w:sz w:val="16"/>
              </w:rPr>
              <w:t>-3,0 %</w:t>
            </w:r>
          </w:p>
        </w:tc>
      </w:tr>
      <w:tr w:rsidR="00855697" w14:paraId="4DBECFE6" w14:textId="77777777">
        <w:trPr>
          <w:cantSplit/>
        </w:trPr>
        <w:tc>
          <w:tcPr>
            <w:tcW w:w="1063" w:type="dxa"/>
          </w:tcPr>
          <w:p w14:paraId="67224B50" w14:textId="77777777" w:rsidR="00A37447" w:rsidRDefault="00A37447">
            <w:pPr>
              <w:keepNext/>
              <w:spacing w:after="20"/>
            </w:pPr>
            <w:r>
              <w:rPr>
                <w:sz w:val="17"/>
              </w:rPr>
              <w:t>Cat. II - Comercial</w:t>
            </w:r>
          </w:p>
        </w:tc>
        <w:tc>
          <w:tcPr>
            <w:tcW w:w="1063" w:type="dxa"/>
            <w:noWrap/>
          </w:tcPr>
          <w:p w14:paraId="29B025F0" w14:textId="77777777" w:rsidR="00A37447" w:rsidRDefault="00A37447">
            <w:pPr>
              <w:keepNext/>
              <w:spacing w:after="20"/>
              <w:jc w:val="right"/>
            </w:pPr>
            <w:r>
              <w:rPr>
                <w:sz w:val="16"/>
              </w:rPr>
              <w:t>16,7</w:t>
            </w:r>
          </w:p>
        </w:tc>
        <w:tc>
          <w:tcPr>
            <w:tcW w:w="1063" w:type="dxa"/>
            <w:noWrap/>
          </w:tcPr>
          <w:p w14:paraId="65AC34E9" w14:textId="77777777" w:rsidR="00A37447" w:rsidRDefault="00A37447">
            <w:pPr>
              <w:keepNext/>
              <w:spacing w:after="20"/>
              <w:jc w:val="right"/>
            </w:pPr>
            <w:r>
              <w:rPr>
                <w:sz w:val="16"/>
              </w:rPr>
              <w:t>19,3</w:t>
            </w:r>
          </w:p>
        </w:tc>
        <w:tc>
          <w:tcPr>
            <w:tcW w:w="1063" w:type="dxa"/>
            <w:noWrap/>
          </w:tcPr>
          <w:p w14:paraId="1A76CED9" w14:textId="77777777" w:rsidR="00A37447" w:rsidRDefault="00A37447">
            <w:pPr>
              <w:keepNext/>
              <w:spacing w:after="20"/>
              <w:jc w:val="right"/>
            </w:pPr>
            <w:r>
              <w:rPr>
                <w:sz w:val="16"/>
              </w:rPr>
              <w:t>20,7</w:t>
            </w:r>
          </w:p>
        </w:tc>
        <w:tc>
          <w:tcPr>
            <w:tcW w:w="1063" w:type="dxa"/>
            <w:noWrap/>
          </w:tcPr>
          <w:p w14:paraId="5AEA2C81" w14:textId="77777777" w:rsidR="00A37447" w:rsidRDefault="00A37447">
            <w:pPr>
              <w:keepNext/>
              <w:spacing w:after="20"/>
              <w:jc w:val="right"/>
            </w:pPr>
            <w:r>
              <w:rPr>
                <w:sz w:val="16"/>
              </w:rPr>
              <w:t>21,0</w:t>
            </w:r>
          </w:p>
        </w:tc>
        <w:tc>
          <w:tcPr>
            <w:tcW w:w="1063" w:type="dxa"/>
            <w:noWrap/>
          </w:tcPr>
          <w:p w14:paraId="64BA2A40" w14:textId="77777777" w:rsidR="00A37447" w:rsidRDefault="00A37447">
            <w:pPr>
              <w:keepNext/>
              <w:spacing w:after="20"/>
              <w:jc w:val="right"/>
            </w:pPr>
            <w:r>
              <w:rPr>
                <w:sz w:val="16"/>
              </w:rPr>
              <w:t>14,0</w:t>
            </w:r>
          </w:p>
        </w:tc>
        <w:tc>
          <w:tcPr>
            <w:tcW w:w="1063" w:type="dxa"/>
            <w:noWrap/>
          </w:tcPr>
          <w:p w14:paraId="54F3CDD6" w14:textId="77777777" w:rsidR="00A37447" w:rsidRDefault="00A37447">
            <w:pPr>
              <w:keepNext/>
              <w:spacing w:after="20"/>
              <w:jc w:val="right"/>
            </w:pPr>
            <w:r>
              <w:rPr>
                <w:sz w:val="16"/>
              </w:rPr>
              <w:t>-33,4 %</w:t>
            </w:r>
          </w:p>
        </w:tc>
        <w:tc>
          <w:tcPr>
            <w:tcW w:w="1063" w:type="dxa"/>
            <w:noWrap/>
          </w:tcPr>
          <w:p w14:paraId="282C7CDC" w14:textId="77777777" w:rsidR="00A37447" w:rsidRDefault="00A37447">
            <w:pPr>
              <w:keepNext/>
              <w:spacing w:after="20"/>
              <w:jc w:val="right"/>
            </w:pPr>
            <w:r>
              <w:rPr>
                <w:sz w:val="16"/>
              </w:rPr>
              <w:t>-4,3 %</w:t>
            </w:r>
          </w:p>
        </w:tc>
      </w:tr>
      <w:tr w:rsidR="00855697" w14:paraId="359418F4" w14:textId="77777777">
        <w:trPr>
          <w:cantSplit/>
        </w:trPr>
        <w:tc>
          <w:tcPr>
            <w:tcW w:w="1063" w:type="dxa"/>
          </w:tcPr>
          <w:p w14:paraId="2C3A8B70" w14:textId="77777777" w:rsidR="00A37447" w:rsidRPr="00470B68" w:rsidRDefault="00A37447">
            <w:pPr>
              <w:keepNext/>
              <w:spacing w:after="20"/>
              <w:rPr>
                <w:lang w:val="es-PE"/>
              </w:rPr>
            </w:pPr>
            <w:r w:rsidRPr="00470B68">
              <w:rPr>
                <w:sz w:val="17"/>
                <w:lang w:val="es-PE"/>
              </w:rPr>
              <w:t>Cat. VII/F - Gran industria</w:t>
            </w:r>
          </w:p>
        </w:tc>
        <w:tc>
          <w:tcPr>
            <w:tcW w:w="1063" w:type="dxa"/>
            <w:noWrap/>
          </w:tcPr>
          <w:p w14:paraId="5D041C35" w14:textId="77777777" w:rsidR="00A37447" w:rsidRDefault="00A37447">
            <w:pPr>
              <w:keepNext/>
              <w:spacing w:after="20"/>
              <w:jc w:val="right"/>
            </w:pPr>
            <w:r>
              <w:rPr>
                <w:sz w:val="16"/>
              </w:rPr>
              <w:t>8,9</w:t>
            </w:r>
          </w:p>
        </w:tc>
        <w:tc>
          <w:tcPr>
            <w:tcW w:w="1063" w:type="dxa"/>
            <w:noWrap/>
          </w:tcPr>
          <w:p w14:paraId="01BAF2E7" w14:textId="77777777" w:rsidR="00A37447" w:rsidRDefault="00A37447">
            <w:pPr>
              <w:keepNext/>
              <w:spacing w:after="20"/>
              <w:jc w:val="right"/>
            </w:pPr>
            <w:r>
              <w:rPr>
                <w:sz w:val="16"/>
              </w:rPr>
              <w:t>10,3</w:t>
            </w:r>
          </w:p>
        </w:tc>
        <w:tc>
          <w:tcPr>
            <w:tcW w:w="1063" w:type="dxa"/>
            <w:noWrap/>
          </w:tcPr>
          <w:p w14:paraId="7C052CA1" w14:textId="77777777" w:rsidR="00A37447" w:rsidRDefault="00A37447">
            <w:pPr>
              <w:keepNext/>
              <w:spacing w:after="20"/>
              <w:jc w:val="right"/>
            </w:pPr>
            <w:r>
              <w:rPr>
                <w:sz w:val="16"/>
              </w:rPr>
              <w:t>11,2</w:t>
            </w:r>
          </w:p>
        </w:tc>
        <w:tc>
          <w:tcPr>
            <w:tcW w:w="1063" w:type="dxa"/>
            <w:noWrap/>
          </w:tcPr>
          <w:p w14:paraId="6D8E1CD7" w14:textId="77777777" w:rsidR="00A37447" w:rsidRDefault="00A37447">
            <w:pPr>
              <w:keepNext/>
              <w:spacing w:after="20"/>
              <w:jc w:val="right"/>
            </w:pPr>
            <w:r>
              <w:rPr>
                <w:sz w:val="16"/>
              </w:rPr>
              <w:t>11,7</w:t>
            </w:r>
          </w:p>
        </w:tc>
        <w:tc>
          <w:tcPr>
            <w:tcW w:w="1063" w:type="dxa"/>
            <w:noWrap/>
          </w:tcPr>
          <w:p w14:paraId="7FF55AB7" w14:textId="77777777" w:rsidR="00A37447" w:rsidRDefault="00A37447">
            <w:pPr>
              <w:keepNext/>
              <w:spacing w:after="20"/>
              <w:jc w:val="right"/>
            </w:pPr>
            <w:r>
              <w:rPr>
                <w:sz w:val="16"/>
              </w:rPr>
              <w:t>12,9</w:t>
            </w:r>
          </w:p>
        </w:tc>
        <w:tc>
          <w:tcPr>
            <w:tcW w:w="1063" w:type="dxa"/>
            <w:noWrap/>
          </w:tcPr>
          <w:p w14:paraId="02A60D01" w14:textId="77777777" w:rsidR="00A37447" w:rsidRDefault="00A37447">
            <w:pPr>
              <w:keepNext/>
              <w:spacing w:after="20"/>
              <w:jc w:val="right"/>
            </w:pPr>
            <w:r>
              <w:rPr>
                <w:sz w:val="16"/>
              </w:rPr>
              <w:t>10,6 %</w:t>
            </w:r>
          </w:p>
        </w:tc>
        <w:tc>
          <w:tcPr>
            <w:tcW w:w="1063" w:type="dxa"/>
            <w:noWrap/>
          </w:tcPr>
          <w:p w14:paraId="374D8FD8" w14:textId="77777777" w:rsidR="00A37447" w:rsidRDefault="00A37447">
            <w:pPr>
              <w:keepNext/>
              <w:spacing w:after="20"/>
              <w:jc w:val="right"/>
            </w:pPr>
            <w:r>
              <w:rPr>
                <w:sz w:val="16"/>
              </w:rPr>
              <w:t>9,9 %</w:t>
            </w:r>
          </w:p>
        </w:tc>
      </w:tr>
      <w:tr w:rsidR="00855697" w14:paraId="7113EBBA" w14:textId="77777777">
        <w:trPr>
          <w:cantSplit/>
        </w:trPr>
        <w:tc>
          <w:tcPr>
            <w:tcW w:w="1063" w:type="dxa"/>
          </w:tcPr>
          <w:p w14:paraId="204FAB89" w14:textId="77777777" w:rsidR="00A37447" w:rsidRDefault="00A37447">
            <w:pPr>
              <w:keepNext/>
              <w:spacing w:after="20"/>
            </w:pPr>
            <w:r>
              <w:rPr>
                <w:sz w:val="17"/>
              </w:rPr>
              <w:t>Cat. IV/D - Industria mediana</w:t>
            </w:r>
          </w:p>
        </w:tc>
        <w:tc>
          <w:tcPr>
            <w:tcW w:w="1063" w:type="dxa"/>
            <w:noWrap/>
          </w:tcPr>
          <w:p w14:paraId="2B7461E4" w14:textId="77777777" w:rsidR="00A37447" w:rsidRDefault="00A37447">
            <w:pPr>
              <w:keepNext/>
              <w:spacing w:after="20"/>
              <w:jc w:val="right"/>
            </w:pPr>
            <w:r>
              <w:rPr>
                <w:sz w:val="16"/>
              </w:rPr>
              <w:t>12,9</w:t>
            </w:r>
          </w:p>
        </w:tc>
        <w:tc>
          <w:tcPr>
            <w:tcW w:w="1063" w:type="dxa"/>
            <w:noWrap/>
          </w:tcPr>
          <w:p w14:paraId="2ADC275E" w14:textId="77777777" w:rsidR="00A37447" w:rsidRDefault="00A37447">
            <w:pPr>
              <w:keepNext/>
              <w:spacing w:after="20"/>
              <w:jc w:val="right"/>
            </w:pPr>
            <w:r>
              <w:rPr>
                <w:sz w:val="16"/>
              </w:rPr>
              <w:t>15,4</w:t>
            </w:r>
          </w:p>
        </w:tc>
        <w:tc>
          <w:tcPr>
            <w:tcW w:w="1063" w:type="dxa"/>
            <w:noWrap/>
          </w:tcPr>
          <w:p w14:paraId="5ADF1C2F" w14:textId="77777777" w:rsidR="00A37447" w:rsidRDefault="00A37447">
            <w:pPr>
              <w:keepNext/>
              <w:spacing w:after="20"/>
              <w:jc w:val="right"/>
            </w:pPr>
            <w:r>
              <w:rPr>
                <w:sz w:val="16"/>
              </w:rPr>
              <w:t>16,2</w:t>
            </w:r>
          </w:p>
        </w:tc>
        <w:tc>
          <w:tcPr>
            <w:tcW w:w="1063" w:type="dxa"/>
            <w:noWrap/>
          </w:tcPr>
          <w:p w14:paraId="3C492B83" w14:textId="77777777" w:rsidR="00A37447" w:rsidRDefault="00A37447">
            <w:pPr>
              <w:keepNext/>
              <w:spacing w:after="20"/>
              <w:jc w:val="right"/>
            </w:pPr>
            <w:r>
              <w:rPr>
                <w:sz w:val="16"/>
              </w:rPr>
              <w:t>17,2</w:t>
            </w:r>
          </w:p>
        </w:tc>
        <w:tc>
          <w:tcPr>
            <w:tcW w:w="1063" w:type="dxa"/>
            <w:noWrap/>
          </w:tcPr>
          <w:p w14:paraId="5E1724C4" w14:textId="77777777" w:rsidR="00A37447" w:rsidRDefault="00A37447">
            <w:pPr>
              <w:keepNext/>
              <w:spacing w:after="20"/>
              <w:jc w:val="right"/>
            </w:pPr>
            <w:r>
              <w:rPr>
                <w:sz w:val="16"/>
              </w:rPr>
              <w:t>13,3</w:t>
            </w:r>
          </w:p>
        </w:tc>
        <w:tc>
          <w:tcPr>
            <w:tcW w:w="1063" w:type="dxa"/>
            <w:noWrap/>
          </w:tcPr>
          <w:p w14:paraId="38EA6DC9" w14:textId="77777777" w:rsidR="00A37447" w:rsidRDefault="00A37447">
            <w:pPr>
              <w:keepNext/>
              <w:spacing w:after="20"/>
              <w:jc w:val="right"/>
            </w:pPr>
            <w:r>
              <w:rPr>
                <w:sz w:val="16"/>
              </w:rPr>
              <w:t>-22,7 %</w:t>
            </w:r>
          </w:p>
        </w:tc>
        <w:tc>
          <w:tcPr>
            <w:tcW w:w="1063" w:type="dxa"/>
            <w:noWrap/>
          </w:tcPr>
          <w:p w14:paraId="14829828" w14:textId="77777777" w:rsidR="00A37447" w:rsidRDefault="00A37447">
            <w:pPr>
              <w:keepNext/>
              <w:spacing w:after="20"/>
              <w:jc w:val="right"/>
            </w:pPr>
            <w:r>
              <w:rPr>
                <w:sz w:val="16"/>
              </w:rPr>
              <w:t>0,8 %</w:t>
            </w:r>
          </w:p>
        </w:tc>
      </w:tr>
      <w:tr w:rsidR="00855697" w14:paraId="1426AF9A" w14:textId="77777777">
        <w:trPr>
          <w:cantSplit/>
        </w:trPr>
        <w:tc>
          <w:tcPr>
            <w:tcW w:w="1063" w:type="dxa"/>
          </w:tcPr>
          <w:p w14:paraId="0D8E1E10" w14:textId="77777777" w:rsidR="00A37447" w:rsidRDefault="00A37447">
            <w:pPr>
              <w:keepNext/>
              <w:spacing w:after="20"/>
            </w:pPr>
            <w:r>
              <w:rPr>
                <w:sz w:val="17"/>
              </w:rPr>
              <w:t>Cat. GNV</w:t>
            </w:r>
          </w:p>
        </w:tc>
        <w:tc>
          <w:tcPr>
            <w:tcW w:w="1063" w:type="dxa"/>
            <w:noWrap/>
          </w:tcPr>
          <w:p w14:paraId="202401FD" w14:textId="77777777" w:rsidR="00A37447" w:rsidRDefault="00A37447">
            <w:pPr>
              <w:keepNext/>
              <w:spacing w:after="20"/>
              <w:jc w:val="right"/>
            </w:pPr>
            <w:r>
              <w:rPr>
                <w:sz w:val="16"/>
              </w:rPr>
              <w:t>9,0</w:t>
            </w:r>
          </w:p>
        </w:tc>
        <w:tc>
          <w:tcPr>
            <w:tcW w:w="1063" w:type="dxa"/>
            <w:noWrap/>
          </w:tcPr>
          <w:p w14:paraId="206D06E7" w14:textId="77777777" w:rsidR="00A37447" w:rsidRDefault="00A37447">
            <w:pPr>
              <w:keepNext/>
              <w:spacing w:after="20"/>
              <w:jc w:val="right"/>
            </w:pPr>
            <w:r>
              <w:rPr>
                <w:sz w:val="16"/>
              </w:rPr>
              <w:t>10,2</w:t>
            </w:r>
          </w:p>
        </w:tc>
        <w:tc>
          <w:tcPr>
            <w:tcW w:w="1063" w:type="dxa"/>
            <w:noWrap/>
          </w:tcPr>
          <w:p w14:paraId="11AE840B" w14:textId="77777777" w:rsidR="00A37447" w:rsidRDefault="00A37447">
            <w:pPr>
              <w:keepNext/>
              <w:spacing w:after="20"/>
              <w:jc w:val="right"/>
            </w:pPr>
            <w:r>
              <w:rPr>
                <w:sz w:val="16"/>
              </w:rPr>
              <w:t>10,5</w:t>
            </w:r>
          </w:p>
        </w:tc>
        <w:tc>
          <w:tcPr>
            <w:tcW w:w="1063" w:type="dxa"/>
            <w:noWrap/>
          </w:tcPr>
          <w:p w14:paraId="6F0C4F58" w14:textId="77777777" w:rsidR="00A37447" w:rsidRDefault="00A37447">
            <w:pPr>
              <w:keepNext/>
              <w:spacing w:after="20"/>
              <w:jc w:val="right"/>
            </w:pPr>
            <w:r>
              <w:rPr>
                <w:sz w:val="16"/>
              </w:rPr>
              <w:t>10,9</w:t>
            </w:r>
          </w:p>
        </w:tc>
        <w:tc>
          <w:tcPr>
            <w:tcW w:w="1063" w:type="dxa"/>
            <w:noWrap/>
          </w:tcPr>
          <w:p w14:paraId="464CC965" w14:textId="77777777" w:rsidR="00A37447" w:rsidRDefault="00A37447">
            <w:pPr>
              <w:keepNext/>
              <w:spacing w:after="20"/>
              <w:jc w:val="right"/>
            </w:pPr>
            <w:r>
              <w:rPr>
                <w:sz w:val="16"/>
              </w:rPr>
              <w:t>13,0</w:t>
            </w:r>
          </w:p>
        </w:tc>
        <w:tc>
          <w:tcPr>
            <w:tcW w:w="1063" w:type="dxa"/>
            <w:noWrap/>
          </w:tcPr>
          <w:p w14:paraId="0AD70D39" w14:textId="77777777" w:rsidR="00A37447" w:rsidRDefault="00A37447">
            <w:pPr>
              <w:keepNext/>
              <w:spacing w:after="20"/>
              <w:jc w:val="right"/>
            </w:pPr>
            <w:r>
              <w:rPr>
                <w:sz w:val="16"/>
              </w:rPr>
              <w:t>18,8 %</w:t>
            </w:r>
          </w:p>
        </w:tc>
        <w:tc>
          <w:tcPr>
            <w:tcW w:w="1063" w:type="dxa"/>
            <w:noWrap/>
          </w:tcPr>
          <w:p w14:paraId="7722FBE6" w14:textId="77777777" w:rsidR="00A37447" w:rsidRDefault="00A37447">
            <w:pPr>
              <w:keepNext/>
              <w:spacing w:after="20"/>
              <w:jc w:val="right"/>
            </w:pPr>
            <w:r>
              <w:rPr>
                <w:sz w:val="16"/>
              </w:rPr>
              <w:t>9,7 %</w:t>
            </w:r>
          </w:p>
        </w:tc>
      </w:tr>
      <w:tr w:rsidR="00855697" w14:paraId="05841774" w14:textId="77777777">
        <w:trPr>
          <w:cantSplit/>
        </w:trPr>
        <w:tc>
          <w:tcPr>
            <w:tcW w:w="1063" w:type="dxa"/>
          </w:tcPr>
          <w:p w14:paraId="2B2B62F7" w14:textId="77777777" w:rsidR="00A37447" w:rsidRDefault="00A37447">
            <w:pPr>
              <w:keepNext/>
              <w:spacing w:after="20"/>
            </w:pPr>
            <w:r>
              <w:rPr>
                <w:sz w:val="17"/>
              </w:rPr>
              <w:t>Cat. Pesca</w:t>
            </w:r>
          </w:p>
        </w:tc>
        <w:tc>
          <w:tcPr>
            <w:tcW w:w="1063" w:type="dxa"/>
            <w:noWrap/>
          </w:tcPr>
          <w:p w14:paraId="3A80642A" w14:textId="77777777" w:rsidR="00A37447" w:rsidRDefault="00A37447">
            <w:pPr>
              <w:keepNext/>
              <w:spacing w:after="20"/>
              <w:jc w:val="right"/>
            </w:pPr>
            <w:r>
              <w:rPr>
                <w:sz w:val="16"/>
              </w:rPr>
              <w:t>13,2</w:t>
            </w:r>
          </w:p>
        </w:tc>
        <w:tc>
          <w:tcPr>
            <w:tcW w:w="1063" w:type="dxa"/>
            <w:noWrap/>
          </w:tcPr>
          <w:p w14:paraId="6A8F6F34" w14:textId="77777777" w:rsidR="00A37447" w:rsidRDefault="00A37447">
            <w:pPr>
              <w:keepNext/>
              <w:spacing w:after="20"/>
              <w:jc w:val="right"/>
            </w:pPr>
            <w:r>
              <w:rPr>
                <w:sz w:val="16"/>
              </w:rPr>
              <w:t>15,1</w:t>
            </w:r>
          </w:p>
        </w:tc>
        <w:tc>
          <w:tcPr>
            <w:tcW w:w="1063" w:type="dxa"/>
            <w:noWrap/>
          </w:tcPr>
          <w:p w14:paraId="1BAA16D4" w14:textId="77777777" w:rsidR="00A37447" w:rsidRDefault="00A37447">
            <w:pPr>
              <w:keepNext/>
              <w:spacing w:after="20"/>
              <w:jc w:val="right"/>
            </w:pPr>
            <w:r>
              <w:rPr>
                <w:sz w:val="16"/>
              </w:rPr>
              <w:t>16,1</w:t>
            </w:r>
          </w:p>
        </w:tc>
        <w:tc>
          <w:tcPr>
            <w:tcW w:w="1063" w:type="dxa"/>
            <w:noWrap/>
          </w:tcPr>
          <w:p w14:paraId="673A7CEF" w14:textId="77777777" w:rsidR="00A37447" w:rsidRDefault="00A37447">
            <w:pPr>
              <w:keepNext/>
              <w:spacing w:after="20"/>
              <w:jc w:val="right"/>
            </w:pPr>
            <w:r>
              <w:rPr>
                <w:sz w:val="16"/>
              </w:rPr>
              <w:t>16,8</w:t>
            </w:r>
          </w:p>
        </w:tc>
        <w:tc>
          <w:tcPr>
            <w:tcW w:w="1063" w:type="dxa"/>
            <w:noWrap/>
          </w:tcPr>
          <w:p w14:paraId="49D7C653" w14:textId="77777777" w:rsidR="00A37447" w:rsidRDefault="00A37447">
            <w:pPr>
              <w:keepNext/>
              <w:spacing w:after="20"/>
              <w:jc w:val="right"/>
            </w:pPr>
            <w:r>
              <w:rPr>
                <w:sz w:val="16"/>
              </w:rPr>
              <w:t>14,9</w:t>
            </w:r>
          </w:p>
        </w:tc>
        <w:tc>
          <w:tcPr>
            <w:tcW w:w="1063" w:type="dxa"/>
            <w:noWrap/>
          </w:tcPr>
          <w:p w14:paraId="75E02E66" w14:textId="77777777" w:rsidR="00A37447" w:rsidRDefault="00A37447">
            <w:pPr>
              <w:keepNext/>
              <w:spacing w:after="20"/>
              <w:jc w:val="right"/>
            </w:pPr>
            <w:r>
              <w:rPr>
                <w:sz w:val="16"/>
              </w:rPr>
              <w:t>-11,5 %</w:t>
            </w:r>
          </w:p>
        </w:tc>
        <w:tc>
          <w:tcPr>
            <w:tcW w:w="1063" w:type="dxa"/>
            <w:noWrap/>
          </w:tcPr>
          <w:p w14:paraId="3460ED80" w14:textId="77777777" w:rsidR="00A37447" w:rsidRDefault="00A37447">
            <w:pPr>
              <w:keepNext/>
              <w:spacing w:after="20"/>
              <w:jc w:val="right"/>
            </w:pPr>
            <w:r>
              <w:rPr>
                <w:sz w:val="16"/>
              </w:rPr>
              <w:t>2,9 %</w:t>
            </w:r>
          </w:p>
        </w:tc>
      </w:tr>
      <w:tr w:rsidR="00855697" w14:paraId="4B373D20" w14:textId="77777777">
        <w:trPr>
          <w:cantSplit/>
        </w:trPr>
        <w:tc>
          <w:tcPr>
            <w:tcW w:w="1063" w:type="dxa"/>
          </w:tcPr>
          <w:p w14:paraId="6B3E628F" w14:textId="77777777" w:rsidR="00A37447" w:rsidRDefault="00A37447">
            <w:pPr>
              <w:keepNext/>
              <w:spacing w:after="20"/>
            </w:pPr>
            <w:r>
              <w:rPr>
                <w:sz w:val="17"/>
              </w:rPr>
              <w:t>Cat. GE - Generadores eléctricos</w:t>
            </w:r>
          </w:p>
        </w:tc>
        <w:tc>
          <w:tcPr>
            <w:tcW w:w="1063" w:type="dxa"/>
            <w:noWrap/>
          </w:tcPr>
          <w:p w14:paraId="5357ECF4" w14:textId="77777777" w:rsidR="00A37447" w:rsidRDefault="00A37447">
            <w:pPr>
              <w:keepNext/>
              <w:spacing w:after="20"/>
              <w:jc w:val="right"/>
            </w:pPr>
            <w:r>
              <w:rPr>
                <w:sz w:val="16"/>
              </w:rPr>
              <w:t>—</w:t>
            </w:r>
          </w:p>
        </w:tc>
        <w:tc>
          <w:tcPr>
            <w:tcW w:w="1063" w:type="dxa"/>
            <w:noWrap/>
          </w:tcPr>
          <w:p w14:paraId="6F2A20C8" w14:textId="77777777" w:rsidR="00A37447" w:rsidRDefault="00A37447">
            <w:pPr>
              <w:keepNext/>
              <w:spacing w:after="20"/>
              <w:jc w:val="right"/>
            </w:pPr>
            <w:r>
              <w:rPr>
                <w:sz w:val="16"/>
              </w:rPr>
              <w:t>—</w:t>
            </w:r>
          </w:p>
        </w:tc>
        <w:tc>
          <w:tcPr>
            <w:tcW w:w="1063" w:type="dxa"/>
            <w:noWrap/>
          </w:tcPr>
          <w:p w14:paraId="3E38982F" w14:textId="77777777" w:rsidR="00A37447" w:rsidRDefault="00A37447">
            <w:pPr>
              <w:keepNext/>
              <w:spacing w:after="20"/>
              <w:jc w:val="right"/>
            </w:pPr>
            <w:r>
              <w:rPr>
                <w:sz w:val="16"/>
              </w:rPr>
              <w:t>—</w:t>
            </w:r>
          </w:p>
        </w:tc>
        <w:tc>
          <w:tcPr>
            <w:tcW w:w="1063" w:type="dxa"/>
            <w:noWrap/>
          </w:tcPr>
          <w:p w14:paraId="1C3322E9" w14:textId="77777777" w:rsidR="00A37447" w:rsidRDefault="00A37447">
            <w:pPr>
              <w:keepNext/>
              <w:spacing w:after="20"/>
              <w:jc w:val="right"/>
            </w:pPr>
            <w:r>
              <w:rPr>
                <w:sz w:val="16"/>
              </w:rPr>
              <w:t>—</w:t>
            </w:r>
          </w:p>
        </w:tc>
        <w:tc>
          <w:tcPr>
            <w:tcW w:w="1063" w:type="dxa"/>
            <w:noWrap/>
          </w:tcPr>
          <w:p w14:paraId="70CF0455" w14:textId="77777777" w:rsidR="00A37447" w:rsidRDefault="00A37447">
            <w:pPr>
              <w:keepNext/>
              <w:spacing w:after="20"/>
              <w:jc w:val="right"/>
            </w:pPr>
            <w:r>
              <w:rPr>
                <w:sz w:val="16"/>
              </w:rPr>
              <w:t>11,4</w:t>
            </w:r>
          </w:p>
        </w:tc>
        <w:tc>
          <w:tcPr>
            <w:tcW w:w="1063" w:type="dxa"/>
            <w:noWrap/>
          </w:tcPr>
          <w:p w14:paraId="50E619DA" w14:textId="77777777" w:rsidR="00A37447" w:rsidRDefault="00A37447">
            <w:pPr>
              <w:keepNext/>
              <w:spacing w:after="20"/>
              <w:jc w:val="right"/>
            </w:pPr>
            <w:r>
              <w:rPr>
                <w:sz w:val="16"/>
              </w:rPr>
              <w:t>n. a.</w:t>
            </w:r>
          </w:p>
        </w:tc>
        <w:tc>
          <w:tcPr>
            <w:tcW w:w="1063" w:type="dxa"/>
            <w:noWrap/>
          </w:tcPr>
          <w:p w14:paraId="267AAC78" w14:textId="77777777" w:rsidR="00A37447" w:rsidRDefault="00A37447">
            <w:pPr>
              <w:keepNext/>
              <w:spacing w:after="20"/>
              <w:jc w:val="right"/>
            </w:pPr>
            <w:r>
              <w:rPr>
                <w:sz w:val="16"/>
              </w:rPr>
              <w:t>n. a.</w:t>
            </w:r>
          </w:p>
        </w:tc>
      </w:tr>
    </w:tbl>
    <w:p w14:paraId="24473D6D" w14:textId="077330A2" w:rsidR="00855697" w:rsidRPr="00470B68" w:rsidRDefault="00D4093E">
      <w:pPr>
        <w:keepLines/>
        <w:spacing w:before="40" w:after="0"/>
        <w:rPr>
          <w:lang w:val="es-PE"/>
        </w:rPr>
      </w:pPr>
      <w:r w:rsidRPr="00470B68">
        <w:rPr>
          <w:i/>
          <w:color w:val="595959"/>
          <w:sz w:val="15"/>
          <w:lang w:val="es-PE"/>
        </w:rPr>
        <w:t xml:space="preserve">Desde 2025 la Concesión Norte tiene una nueva estructura tarifaria: la gran industria pasó de la categoría VII (más de 280 mil Sm³ al mes) a la F (más de 143 mil) y la industria mediana, de la IV a la D (entre 5 mil y 38 mil). La comparación se hace por rango de consumo equivalente. La tarifa de la gran industria se mantuvo en soles; su alza en dólares refleja la apreciación del sol. La categoría </w:t>
      </w:r>
      <w:r>
        <w:rPr>
          <w:i/>
          <w:color w:val="595959"/>
          <w:sz w:val="15"/>
          <w:lang w:val="es-PE"/>
        </w:rPr>
        <w:t>G</w:t>
      </w:r>
      <w:r w:rsidRPr="00470B68">
        <w:rPr>
          <w:i/>
          <w:color w:val="595959"/>
          <w:sz w:val="15"/>
          <w:lang w:val="es-PE"/>
        </w:rPr>
        <w:t xml:space="preserve">eneradores </w:t>
      </w:r>
      <w:r>
        <w:rPr>
          <w:i/>
          <w:color w:val="595959"/>
          <w:sz w:val="15"/>
          <w:lang w:val="es-PE"/>
        </w:rPr>
        <w:t>E</w:t>
      </w:r>
      <w:r w:rsidRPr="00470B68">
        <w:rPr>
          <w:i/>
          <w:color w:val="595959"/>
          <w:sz w:val="15"/>
          <w:lang w:val="es-PE"/>
        </w:rPr>
        <w:t>léctricos nace con la fijación tarifaria de 2025, por lo que no tiene comparación con años previos.</w:t>
      </w:r>
    </w:p>
    <w:p w14:paraId="37846959" w14:textId="77777777" w:rsidR="00A37447" w:rsidRPr="0036111A" w:rsidRDefault="00A37447">
      <w:pPr>
        <w:keepLines/>
        <w:spacing w:before="40"/>
        <w:jc w:val="right"/>
        <w:rPr>
          <w:lang w:val="es-PE"/>
        </w:rPr>
      </w:pPr>
      <w:r w:rsidRPr="0036111A">
        <w:rPr>
          <w:b/>
          <w:color w:val="404040"/>
          <w:sz w:val="15"/>
          <w:lang w:val="es-PE"/>
        </w:rPr>
        <w:t>FUENTE: Osinergmin, empresas del sector, APOYO Consultoría</w:t>
      </w:r>
    </w:p>
    <w:p w14:paraId="6DCA5B9D" w14:textId="691D6442" w:rsidR="00A37447" w:rsidRDefault="00A37447">
      <w:pPr>
        <w:spacing w:before="160"/>
        <w:jc w:val="center"/>
      </w:pPr>
      <w:r>
        <w:rPr>
          <w:noProof/>
        </w:rPr>
        <w:lastRenderedPageBreak/>
        <w:drawing>
          <wp:inline distT="0" distB="0" distL="0" distR="0" wp14:anchorId="0E8C1682" wp14:editId="2F483984">
            <wp:extent cx="5400000" cy="3708387"/>
            <wp:effectExtent l="0" t="0" r="0" b="0"/>
            <wp:docPr id="2110891816" name="Imagen 2110891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66.png"/>
                    <pic:cNvPicPr/>
                  </pic:nvPicPr>
                  <pic:blipFill>
                    <a:blip r:embed="rId79"/>
                    <a:stretch>
                      <a:fillRect/>
                    </a:stretch>
                  </pic:blipFill>
                  <pic:spPr>
                    <a:xfrm>
                      <a:off x="0" y="0"/>
                      <a:ext cx="5400000" cy="3708387"/>
                    </a:xfrm>
                    <a:prstGeom prst="rect">
                      <a:avLst/>
                    </a:prstGeom>
                  </pic:spPr>
                </pic:pic>
              </a:graphicData>
            </a:graphic>
          </wp:inline>
        </w:drawing>
      </w:r>
    </w:p>
    <w:p w14:paraId="07297F8A" w14:textId="77777777" w:rsidR="00A37447" w:rsidRPr="0036111A" w:rsidRDefault="00A37447">
      <w:pPr>
        <w:pStyle w:val="Ttulo4"/>
        <w:pageBreakBefore/>
        <w:rPr>
          <w:lang w:val="es-PE"/>
        </w:rPr>
      </w:pPr>
      <w:bookmarkStart w:id="26" w:name="_Toc235083036"/>
      <w:r w:rsidRPr="0036111A">
        <w:rPr>
          <w:lang w:val="es-PE"/>
        </w:rPr>
        <w:lastRenderedPageBreak/>
        <w:t>3.2.8.3. Contugas</w:t>
      </w:r>
      <w:bookmarkEnd w:id="26"/>
    </w:p>
    <w:p w14:paraId="5E0E7B04" w14:textId="66E88ED1" w:rsidR="00A37447" w:rsidRPr="0036111A" w:rsidRDefault="00A37447">
      <w:pPr>
        <w:keepLines/>
        <w:spacing w:after="120"/>
        <w:rPr>
          <w:lang w:val="es-PE"/>
        </w:rPr>
      </w:pPr>
      <w:r w:rsidRPr="0036111A">
        <w:rPr>
          <w:lang w:val="es-PE"/>
        </w:rPr>
        <w:t>En 2025, las tarifas de Contugas en dólares cayeron alrededor de 5 % en la mayoría de categorías, con la excepción del segmento residencial (</w:t>
      </w:r>
      <w:r>
        <w:rPr>
          <w:lang w:val="es-PE"/>
        </w:rPr>
        <w:t>c</w:t>
      </w:r>
      <w:r w:rsidRPr="0036111A">
        <w:rPr>
          <w:lang w:val="es-PE"/>
        </w:rPr>
        <w:t xml:space="preserve">ategoría A1), que subió cerca de 4 % hasta un nivel en torno a US$ 13 por MMBTU. Aun con estas caídas, las tarifas se mantienen muy por encima de los niveles </w:t>
      </w:r>
      <w:r w:rsidR="00AF00AE">
        <w:rPr>
          <w:lang w:val="es-PE"/>
        </w:rPr>
        <w:t>de 2021.</w:t>
      </w:r>
      <w:r w:rsidRPr="0036111A">
        <w:rPr>
          <w:lang w:val="es-PE"/>
        </w:rPr>
        <w:t xml:space="preserve"> </w:t>
      </w:r>
      <w:r w:rsidR="00AF00AE">
        <w:rPr>
          <w:lang w:val="es-PE"/>
        </w:rPr>
        <w:t>L</w:t>
      </w:r>
      <w:r w:rsidRPr="0036111A">
        <w:rPr>
          <w:lang w:val="es-PE"/>
        </w:rPr>
        <w:t xml:space="preserve">a categoría de gran industria acumula un alza de más de 30 % y la de generadores eléctricos </w:t>
      </w:r>
      <w:r>
        <w:rPr>
          <w:lang w:val="es-PE"/>
        </w:rPr>
        <w:t xml:space="preserve">una </w:t>
      </w:r>
      <w:r w:rsidRPr="0036111A">
        <w:rPr>
          <w:lang w:val="es-PE"/>
        </w:rPr>
        <w:t>de cerca de 80 %.</w:t>
      </w:r>
    </w:p>
    <w:p w14:paraId="6C9236E5" w14:textId="77777777" w:rsidR="00A37447" w:rsidRPr="0036111A" w:rsidRDefault="00A37447">
      <w:pPr>
        <w:keepNext/>
        <w:keepLines/>
        <w:spacing w:before="160" w:after="20"/>
        <w:rPr>
          <w:lang w:val="es-PE"/>
        </w:rPr>
      </w:pPr>
      <w:r w:rsidRPr="0036111A">
        <w:rPr>
          <w:b/>
          <w:color w:val="00838F"/>
          <w:sz w:val="20"/>
          <w:lang w:val="es-PE"/>
        </w:rPr>
        <w:t>CONTUGAS: TARIFA COBRADA AL USUARIO FINAL</w:t>
      </w:r>
    </w:p>
    <w:p w14:paraId="4050E55B" w14:textId="77777777" w:rsidR="00A37447" w:rsidRPr="0036111A" w:rsidRDefault="00A37447">
      <w:pPr>
        <w:keepNext/>
        <w:keepLines/>
        <w:spacing w:after="60"/>
        <w:rPr>
          <w:lang w:val="es-PE"/>
        </w:rPr>
      </w:pPr>
      <w:r w:rsidRPr="0036111A">
        <w:rPr>
          <w:i/>
          <w:sz w:val="17"/>
          <w:lang w:val="es-PE"/>
        </w:rPr>
        <w:t>US$ por millón de BTU; tarifas a diciembre de cada año</w:t>
      </w:r>
      <w:r>
        <w:rPr>
          <w:i/>
          <w:sz w:val="17"/>
          <w:lang w:val="es-PE"/>
        </w:rPr>
        <w:t>.</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119451FF" w14:textId="77777777">
        <w:trPr>
          <w:cantSplit/>
          <w:tblHeader/>
        </w:trPr>
        <w:tc>
          <w:tcPr>
            <w:tcW w:w="1063" w:type="dxa"/>
            <w:shd w:val="clear" w:color="auto" w:fill="1F3864"/>
          </w:tcPr>
          <w:p w14:paraId="7A7B98C4" w14:textId="77777777" w:rsidR="00A37447" w:rsidRDefault="00A37447">
            <w:pPr>
              <w:keepNext/>
            </w:pPr>
            <w:r>
              <w:rPr>
                <w:b/>
                <w:color w:val="FFFFFF"/>
                <w:sz w:val="17"/>
              </w:rPr>
              <w:t>Categoría</w:t>
            </w:r>
          </w:p>
        </w:tc>
        <w:tc>
          <w:tcPr>
            <w:tcW w:w="1063" w:type="dxa"/>
            <w:shd w:val="clear" w:color="auto" w:fill="1F3864"/>
            <w:noWrap/>
          </w:tcPr>
          <w:p w14:paraId="72A086B2" w14:textId="77777777" w:rsidR="00A37447" w:rsidRDefault="00A37447">
            <w:pPr>
              <w:keepNext/>
              <w:jc w:val="right"/>
            </w:pPr>
            <w:r>
              <w:rPr>
                <w:b/>
                <w:color w:val="FFFFFF"/>
                <w:sz w:val="17"/>
              </w:rPr>
              <w:t>2021</w:t>
            </w:r>
          </w:p>
        </w:tc>
        <w:tc>
          <w:tcPr>
            <w:tcW w:w="1063" w:type="dxa"/>
            <w:shd w:val="clear" w:color="auto" w:fill="1F3864"/>
            <w:noWrap/>
          </w:tcPr>
          <w:p w14:paraId="135C3F4C" w14:textId="77777777" w:rsidR="00A37447" w:rsidRDefault="00A37447">
            <w:pPr>
              <w:keepNext/>
              <w:jc w:val="right"/>
            </w:pPr>
            <w:r>
              <w:rPr>
                <w:b/>
                <w:color w:val="FFFFFF"/>
                <w:sz w:val="17"/>
              </w:rPr>
              <w:t>2022</w:t>
            </w:r>
          </w:p>
        </w:tc>
        <w:tc>
          <w:tcPr>
            <w:tcW w:w="1063" w:type="dxa"/>
            <w:shd w:val="clear" w:color="auto" w:fill="1F3864"/>
            <w:noWrap/>
          </w:tcPr>
          <w:p w14:paraId="54F4F7FC" w14:textId="77777777" w:rsidR="00A37447" w:rsidRDefault="00A37447">
            <w:pPr>
              <w:keepNext/>
              <w:jc w:val="right"/>
            </w:pPr>
            <w:r>
              <w:rPr>
                <w:b/>
                <w:color w:val="FFFFFF"/>
                <w:sz w:val="17"/>
              </w:rPr>
              <w:t>2023</w:t>
            </w:r>
          </w:p>
        </w:tc>
        <w:tc>
          <w:tcPr>
            <w:tcW w:w="1063" w:type="dxa"/>
            <w:shd w:val="clear" w:color="auto" w:fill="1F3864"/>
            <w:noWrap/>
          </w:tcPr>
          <w:p w14:paraId="54DA7349" w14:textId="77777777" w:rsidR="00A37447" w:rsidRDefault="00A37447">
            <w:pPr>
              <w:keepNext/>
              <w:jc w:val="right"/>
            </w:pPr>
            <w:r>
              <w:rPr>
                <w:b/>
                <w:color w:val="FFFFFF"/>
                <w:sz w:val="17"/>
              </w:rPr>
              <w:t>2024</w:t>
            </w:r>
          </w:p>
        </w:tc>
        <w:tc>
          <w:tcPr>
            <w:tcW w:w="1063" w:type="dxa"/>
            <w:shd w:val="clear" w:color="auto" w:fill="1F3864"/>
            <w:noWrap/>
          </w:tcPr>
          <w:p w14:paraId="5B859135" w14:textId="77777777" w:rsidR="00A37447" w:rsidRDefault="00A37447">
            <w:pPr>
              <w:keepNext/>
              <w:jc w:val="right"/>
            </w:pPr>
            <w:r>
              <w:rPr>
                <w:b/>
                <w:color w:val="FFFFFF"/>
                <w:sz w:val="17"/>
              </w:rPr>
              <w:t>2025</w:t>
            </w:r>
          </w:p>
        </w:tc>
        <w:tc>
          <w:tcPr>
            <w:tcW w:w="1063" w:type="dxa"/>
            <w:shd w:val="clear" w:color="auto" w:fill="1F3864"/>
          </w:tcPr>
          <w:p w14:paraId="2E20885B" w14:textId="77777777" w:rsidR="00A37447" w:rsidRDefault="00A37447">
            <w:pPr>
              <w:keepNext/>
              <w:jc w:val="right"/>
            </w:pPr>
            <w:r>
              <w:rPr>
                <w:b/>
                <w:color w:val="FFFFFF"/>
                <w:sz w:val="17"/>
              </w:rPr>
              <w:t>Var. % 2025 vs 2024</w:t>
            </w:r>
          </w:p>
        </w:tc>
        <w:tc>
          <w:tcPr>
            <w:tcW w:w="1063" w:type="dxa"/>
            <w:shd w:val="clear" w:color="auto" w:fill="1F3864"/>
          </w:tcPr>
          <w:p w14:paraId="311BC654" w14:textId="77777777" w:rsidR="00A37447" w:rsidRDefault="00A37447">
            <w:pPr>
              <w:keepNext/>
              <w:jc w:val="right"/>
            </w:pPr>
            <w:r>
              <w:rPr>
                <w:b/>
                <w:color w:val="FFFFFF"/>
                <w:sz w:val="17"/>
              </w:rPr>
              <w:t>TACC 2021-2025</w:t>
            </w:r>
          </w:p>
        </w:tc>
      </w:tr>
      <w:tr w:rsidR="00855697" w14:paraId="1F52CFF8" w14:textId="77777777">
        <w:trPr>
          <w:cantSplit/>
        </w:trPr>
        <w:tc>
          <w:tcPr>
            <w:tcW w:w="1063" w:type="dxa"/>
          </w:tcPr>
          <w:p w14:paraId="021A5013" w14:textId="77777777" w:rsidR="00A37447" w:rsidRDefault="00A37447">
            <w:pPr>
              <w:keepNext/>
              <w:spacing w:after="20"/>
            </w:pPr>
            <w:r>
              <w:rPr>
                <w:sz w:val="17"/>
              </w:rPr>
              <w:t>Cat. A1 - Residencial</w:t>
            </w:r>
          </w:p>
        </w:tc>
        <w:tc>
          <w:tcPr>
            <w:tcW w:w="1063" w:type="dxa"/>
            <w:noWrap/>
          </w:tcPr>
          <w:p w14:paraId="467E915D" w14:textId="77777777" w:rsidR="00A37447" w:rsidRDefault="00A37447">
            <w:pPr>
              <w:keepNext/>
              <w:spacing w:after="20"/>
              <w:jc w:val="right"/>
            </w:pPr>
            <w:r>
              <w:rPr>
                <w:sz w:val="16"/>
              </w:rPr>
              <w:t>10,8</w:t>
            </w:r>
          </w:p>
        </w:tc>
        <w:tc>
          <w:tcPr>
            <w:tcW w:w="1063" w:type="dxa"/>
            <w:noWrap/>
          </w:tcPr>
          <w:p w14:paraId="009B79ED" w14:textId="77777777" w:rsidR="00A37447" w:rsidRDefault="00A37447">
            <w:pPr>
              <w:keepNext/>
              <w:spacing w:after="20"/>
              <w:jc w:val="right"/>
            </w:pPr>
            <w:r>
              <w:rPr>
                <w:sz w:val="16"/>
              </w:rPr>
              <w:t>11,7</w:t>
            </w:r>
          </w:p>
        </w:tc>
        <w:tc>
          <w:tcPr>
            <w:tcW w:w="1063" w:type="dxa"/>
            <w:noWrap/>
          </w:tcPr>
          <w:p w14:paraId="67A13B1B" w14:textId="77777777" w:rsidR="00A37447" w:rsidRDefault="00A37447">
            <w:pPr>
              <w:keepNext/>
              <w:spacing w:after="20"/>
              <w:jc w:val="right"/>
            </w:pPr>
            <w:r>
              <w:rPr>
                <w:sz w:val="16"/>
              </w:rPr>
              <w:t>12,0</w:t>
            </w:r>
          </w:p>
        </w:tc>
        <w:tc>
          <w:tcPr>
            <w:tcW w:w="1063" w:type="dxa"/>
            <w:noWrap/>
          </w:tcPr>
          <w:p w14:paraId="2F657BFD" w14:textId="77777777" w:rsidR="00A37447" w:rsidRDefault="00A37447">
            <w:pPr>
              <w:keepNext/>
              <w:spacing w:after="20"/>
              <w:jc w:val="right"/>
            </w:pPr>
            <w:r>
              <w:rPr>
                <w:sz w:val="16"/>
              </w:rPr>
              <w:t>12,3</w:t>
            </w:r>
          </w:p>
        </w:tc>
        <w:tc>
          <w:tcPr>
            <w:tcW w:w="1063" w:type="dxa"/>
            <w:noWrap/>
          </w:tcPr>
          <w:p w14:paraId="63525D8B" w14:textId="77777777" w:rsidR="00A37447" w:rsidRDefault="00A37447">
            <w:pPr>
              <w:keepNext/>
              <w:spacing w:after="20"/>
              <w:jc w:val="right"/>
            </w:pPr>
            <w:r>
              <w:rPr>
                <w:sz w:val="16"/>
              </w:rPr>
              <w:t>12,7</w:t>
            </w:r>
          </w:p>
        </w:tc>
        <w:tc>
          <w:tcPr>
            <w:tcW w:w="1063" w:type="dxa"/>
            <w:noWrap/>
          </w:tcPr>
          <w:p w14:paraId="69DB8605" w14:textId="77777777" w:rsidR="00A37447" w:rsidRDefault="00A37447">
            <w:pPr>
              <w:keepNext/>
              <w:spacing w:after="20"/>
              <w:jc w:val="right"/>
            </w:pPr>
            <w:r>
              <w:rPr>
                <w:sz w:val="16"/>
              </w:rPr>
              <w:t>3,7 %</w:t>
            </w:r>
          </w:p>
        </w:tc>
        <w:tc>
          <w:tcPr>
            <w:tcW w:w="1063" w:type="dxa"/>
            <w:noWrap/>
          </w:tcPr>
          <w:p w14:paraId="25B15691" w14:textId="77777777" w:rsidR="00A37447" w:rsidRDefault="00A37447">
            <w:pPr>
              <w:keepNext/>
              <w:spacing w:after="20"/>
              <w:jc w:val="right"/>
            </w:pPr>
            <w:r>
              <w:rPr>
                <w:sz w:val="16"/>
              </w:rPr>
              <w:t>4,2 %</w:t>
            </w:r>
          </w:p>
        </w:tc>
      </w:tr>
      <w:tr w:rsidR="00855697" w14:paraId="360856F7" w14:textId="77777777">
        <w:trPr>
          <w:cantSplit/>
        </w:trPr>
        <w:tc>
          <w:tcPr>
            <w:tcW w:w="1063" w:type="dxa"/>
          </w:tcPr>
          <w:p w14:paraId="47012806" w14:textId="77777777" w:rsidR="00A37447" w:rsidRPr="0036111A" w:rsidRDefault="00A37447">
            <w:pPr>
              <w:keepNext/>
              <w:spacing w:after="20"/>
              <w:rPr>
                <w:lang w:val="es-PE"/>
              </w:rPr>
            </w:pPr>
            <w:r w:rsidRPr="0036111A">
              <w:rPr>
                <w:sz w:val="17"/>
                <w:lang w:val="es-PE"/>
              </w:rPr>
              <w:t>Cat. B - Comercio y pequeña industria</w:t>
            </w:r>
          </w:p>
        </w:tc>
        <w:tc>
          <w:tcPr>
            <w:tcW w:w="1063" w:type="dxa"/>
            <w:noWrap/>
          </w:tcPr>
          <w:p w14:paraId="12693A3C" w14:textId="77777777" w:rsidR="00A37447" w:rsidRDefault="00A37447">
            <w:pPr>
              <w:keepNext/>
              <w:spacing w:after="20"/>
              <w:jc w:val="right"/>
            </w:pPr>
            <w:r>
              <w:rPr>
                <w:sz w:val="16"/>
              </w:rPr>
              <w:t>9,2</w:t>
            </w:r>
          </w:p>
        </w:tc>
        <w:tc>
          <w:tcPr>
            <w:tcW w:w="1063" w:type="dxa"/>
            <w:noWrap/>
          </w:tcPr>
          <w:p w14:paraId="69EBD148" w14:textId="77777777" w:rsidR="00A37447" w:rsidRDefault="00A37447">
            <w:pPr>
              <w:keepNext/>
              <w:spacing w:after="20"/>
              <w:jc w:val="right"/>
            </w:pPr>
            <w:r>
              <w:rPr>
                <w:sz w:val="16"/>
              </w:rPr>
              <w:t>9,6</w:t>
            </w:r>
          </w:p>
        </w:tc>
        <w:tc>
          <w:tcPr>
            <w:tcW w:w="1063" w:type="dxa"/>
            <w:noWrap/>
          </w:tcPr>
          <w:p w14:paraId="16C8ADEC" w14:textId="77777777" w:rsidR="00A37447" w:rsidRDefault="00A37447">
            <w:pPr>
              <w:keepNext/>
              <w:spacing w:after="20"/>
              <w:jc w:val="right"/>
            </w:pPr>
            <w:r>
              <w:rPr>
                <w:sz w:val="16"/>
              </w:rPr>
              <w:t>9,8</w:t>
            </w:r>
          </w:p>
        </w:tc>
        <w:tc>
          <w:tcPr>
            <w:tcW w:w="1063" w:type="dxa"/>
            <w:noWrap/>
          </w:tcPr>
          <w:p w14:paraId="2BC4E664" w14:textId="77777777" w:rsidR="00A37447" w:rsidRDefault="00A37447">
            <w:pPr>
              <w:keepNext/>
              <w:spacing w:after="20"/>
              <w:jc w:val="right"/>
            </w:pPr>
            <w:r>
              <w:rPr>
                <w:sz w:val="16"/>
              </w:rPr>
              <w:t>10,5</w:t>
            </w:r>
          </w:p>
        </w:tc>
        <w:tc>
          <w:tcPr>
            <w:tcW w:w="1063" w:type="dxa"/>
            <w:noWrap/>
          </w:tcPr>
          <w:p w14:paraId="3BC751E3" w14:textId="77777777" w:rsidR="00A37447" w:rsidRDefault="00A37447">
            <w:pPr>
              <w:keepNext/>
              <w:spacing w:after="20"/>
              <w:jc w:val="right"/>
            </w:pPr>
            <w:r>
              <w:rPr>
                <w:sz w:val="16"/>
              </w:rPr>
              <w:t>9,9</w:t>
            </w:r>
          </w:p>
        </w:tc>
        <w:tc>
          <w:tcPr>
            <w:tcW w:w="1063" w:type="dxa"/>
            <w:noWrap/>
          </w:tcPr>
          <w:p w14:paraId="689D36D9" w14:textId="77777777" w:rsidR="00A37447" w:rsidRDefault="00A37447">
            <w:pPr>
              <w:keepNext/>
              <w:spacing w:after="20"/>
              <w:jc w:val="right"/>
            </w:pPr>
            <w:r>
              <w:rPr>
                <w:sz w:val="16"/>
              </w:rPr>
              <w:t>-6,0 %</w:t>
            </w:r>
          </w:p>
        </w:tc>
        <w:tc>
          <w:tcPr>
            <w:tcW w:w="1063" w:type="dxa"/>
            <w:noWrap/>
          </w:tcPr>
          <w:p w14:paraId="724E0450" w14:textId="77777777" w:rsidR="00A37447" w:rsidRDefault="00A37447">
            <w:pPr>
              <w:keepNext/>
              <w:spacing w:after="20"/>
              <w:jc w:val="right"/>
            </w:pPr>
            <w:r>
              <w:rPr>
                <w:sz w:val="16"/>
              </w:rPr>
              <w:t>1,9 %</w:t>
            </w:r>
          </w:p>
        </w:tc>
      </w:tr>
      <w:tr w:rsidR="00855697" w14:paraId="3700C076" w14:textId="77777777">
        <w:trPr>
          <w:cantSplit/>
        </w:trPr>
        <w:tc>
          <w:tcPr>
            <w:tcW w:w="1063" w:type="dxa"/>
          </w:tcPr>
          <w:p w14:paraId="78FD1CC4" w14:textId="77777777" w:rsidR="00A37447" w:rsidRDefault="00A37447">
            <w:pPr>
              <w:keepNext/>
              <w:spacing w:after="20"/>
            </w:pPr>
            <w:r>
              <w:rPr>
                <w:sz w:val="17"/>
              </w:rPr>
              <w:t>Cat. C - GNV</w:t>
            </w:r>
          </w:p>
        </w:tc>
        <w:tc>
          <w:tcPr>
            <w:tcW w:w="1063" w:type="dxa"/>
            <w:noWrap/>
          </w:tcPr>
          <w:p w14:paraId="21457FA5" w14:textId="77777777" w:rsidR="00A37447" w:rsidRDefault="00A37447">
            <w:pPr>
              <w:keepNext/>
              <w:spacing w:after="20"/>
              <w:jc w:val="right"/>
            </w:pPr>
            <w:r>
              <w:rPr>
                <w:sz w:val="16"/>
              </w:rPr>
              <w:t>6,4</w:t>
            </w:r>
          </w:p>
        </w:tc>
        <w:tc>
          <w:tcPr>
            <w:tcW w:w="1063" w:type="dxa"/>
            <w:noWrap/>
          </w:tcPr>
          <w:p w14:paraId="023E9AE9" w14:textId="77777777" w:rsidR="00A37447" w:rsidRDefault="00A37447">
            <w:pPr>
              <w:keepNext/>
              <w:spacing w:after="20"/>
              <w:jc w:val="right"/>
            </w:pPr>
            <w:r>
              <w:rPr>
                <w:sz w:val="16"/>
              </w:rPr>
              <w:t>7,3</w:t>
            </w:r>
          </w:p>
        </w:tc>
        <w:tc>
          <w:tcPr>
            <w:tcW w:w="1063" w:type="dxa"/>
            <w:noWrap/>
          </w:tcPr>
          <w:p w14:paraId="36C99870" w14:textId="77777777" w:rsidR="00A37447" w:rsidRDefault="00A37447">
            <w:pPr>
              <w:keepNext/>
              <w:spacing w:after="20"/>
              <w:jc w:val="right"/>
            </w:pPr>
            <w:r>
              <w:rPr>
                <w:sz w:val="16"/>
              </w:rPr>
              <w:t>7,5</w:t>
            </w:r>
          </w:p>
        </w:tc>
        <w:tc>
          <w:tcPr>
            <w:tcW w:w="1063" w:type="dxa"/>
            <w:noWrap/>
          </w:tcPr>
          <w:p w14:paraId="6EE9D894" w14:textId="77777777" w:rsidR="00A37447" w:rsidRDefault="00A37447">
            <w:pPr>
              <w:keepNext/>
              <w:spacing w:after="20"/>
              <w:jc w:val="right"/>
            </w:pPr>
            <w:r>
              <w:rPr>
                <w:sz w:val="16"/>
              </w:rPr>
              <w:t>8,0</w:t>
            </w:r>
          </w:p>
        </w:tc>
        <w:tc>
          <w:tcPr>
            <w:tcW w:w="1063" w:type="dxa"/>
            <w:noWrap/>
          </w:tcPr>
          <w:p w14:paraId="1C269915" w14:textId="77777777" w:rsidR="00A37447" w:rsidRDefault="00A37447">
            <w:pPr>
              <w:keepNext/>
              <w:spacing w:after="20"/>
              <w:jc w:val="right"/>
            </w:pPr>
            <w:r>
              <w:rPr>
                <w:sz w:val="16"/>
              </w:rPr>
              <w:t>7,6</w:t>
            </w:r>
          </w:p>
        </w:tc>
        <w:tc>
          <w:tcPr>
            <w:tcW w:w="1063" w:type="dxa"/>
            <w:noWrap/>
          </w:tcPr>
          <w:p w14:paraId="0FCB8316" w14:textId="77777777" w:rsidR="00A37447" w:rsidRDefault="00A37447">
            <w:pPr>
              <w:keepNext/>
              <w:spacing w:after="20"/>
              <w:jc w:val="right"/>
            </w:pPr>
            <w:r>
              <w:rPr>
                <w:sz w:val="16"/>
              </w:rPr>
              <w:t>-5,0 %</w:t>
            </w:r>
          </w:p>
        </w:tc>
        <w:tc>
          <w:tcPr>
            <w:tcW w:w="1063" w:type="dxa"/>
            <w:noWrap/>
          </w:tcPr>
          <w:p w14:paraId="0D70AF46" w14:textId="77777777" w:rsidR="00A37447" w:rsidRDefault="00A37447">
            <w:pPr>
              <w:keepNext/>
              <w:spacing w:after="20"/>
              <w:jc w:val="right"/>
            </w:pPr>
            <w:r>
              <w:rPr>
                <w:sz w:val="16"/>
              </w:rPr>
              <w:t>4,3 %</w:t>
            </w:r>
          </w:p>
        </w:tc>
      </w:tr>
      <w:tr w:rsidR="00855697" w14:paraId="1E1584E7" w14:textId="77777777">
        <w:trPr>
          <w:cantSplit/>
        </w:trPr>
        <w:tc>
          <w:tcPr>
            <w:tcW w:w="1063" w:type="dxa"/>
          </w:tcPr>
          <w:p w14:paraId="32E432E7" w14:textId="77777777" w:rsidR="00A37447" w:rsidRDefault="00A37447">
            <w:pPr>
              <w:keepNext/>
              <w:spacing w:after="20"/>
            </w:pPr>
            <w:r>
              <w:rPr>
                <w:sz w:val="17"/>
              </w:rPr>
              <w:t>Cat. D - Gran industria</w:t>
            </w:r>
          </w:p>
        </w:tc>
        <w:tc>
          <w:tcPr>
            <w:tcW w:w="1063" w:type="dxa"/>
            <w:noWrap/>
          </w:tcPr>
          <w:p w14:paraId="77819F0E" w14:textId="77777777" w:rsidR="00A37447" w:rsidRDefault="00A37447">
            <w:pPr>
              <w:keepNext/>
              <w:spacing w:after="20"/>
              <w:jc w:val="right"/>
            </w:pPr>
            <w:r>
              <w:rPr>
                <w:sz w:val="16"/>
              </w:rPr>
              <w:t>5,3</w:t>
            </w:r>
          </w:p>
        </w:tc>
        <w:tc>
          <w:tcPr>
            <w:tcW w:w="1063" w:type="dxa"/>
            <w:noWrap/>
          </w:tcPr>
          <w:p w14:paraId="42BFE5CE" w14:textId="77777777" w:rsidR="00A37447" w:rsidRDefault="00A37447">
            <w:pPr>
              <w:keepNext/>
              <w:spacing w:after="20"/>
              <w:jc w:val="right"/>
            </w:pPr>
            <w:r>
              <w:rPr>
                <w:sz w:val="16"/>
              </w:rPr>
              <w:t>6,8</w:t>
            </w:r>
          </w:p>
        </w:tc>
        <w:tc>
          <w:tcPr>
            <w:tcW w:w="1063" w:type="dxa"/>
            <w:noWrap/>
          </w:tcPr>
          <w:p w14:paraId="56DFE447" w14:textId="77777777" w:rsidR="00A37447" w:rsidRDefault="00A37447">
            <w:pPr>
              <w:keepNext/>
              <w:spacing w:after="20"/>
              <w:jc w:val="right"/>
            </w:pPr>
            <w:r>
              <w:rPr>
                <w:sz w:val="16"/>
              </w:rPr>
              <w:t>7,0</w:t>
            </w:r>
          </w:p>
        </w:tc>
        <w:tc>
          <w:tcPr>
            <w:tcW w:w="1063" w:type="dxa"/>
            <w:noWrap/>
          </w:tcPr>
          <w:p w14:paraId="66456CD4" w14:textId="77777777" w:rsidR="00A37447" w:rsidRDefault="00A37447">
            <w:pPr>
              <w:keepNext/>
              <w:spacing w:after="20"/>
              <w:jc w:val="right"/>
            </w:pPr>
            <w:r>
              <w:rPr>
                <w:sz w:val="16"/>
              </w:rPr>
              <w:t>7,5</w:t>
            </w:r>
          </w:p>
        </w:tc>
        <w:tc>
          <w:tcPr>
            <w:tcW w:w="1063" w:type="dxa"/>
            <w:noWrap/>
          </w:tcPr>
          <w:p w14:paraId="106CF695" w14:textId="77777777" w:rsidR="00A37447" w:rsidRDefault="00A37447">
            <w:pPr>
              <w:keepNext/>
              <w:spacing w:after="20"/>
              <w:jc w:val="right"/>
            </w:pPr>
            <w:r>
              <w:rPr>
                <w:sz w:val="16"/>
              </w:rPr>
              <w:t>7,1</w:t>
            </w:r>
          </w:p>
        </w:tc>
        <w:tc>
          <w:tcPr>
            <w:tcW w:w="1063" w:type="dxa"/>
            <w:noWrap/>
          </w:tcPr>
          <w:p w14:paraId="3F3C6561" w14:textId="77777777" w:rsidR="00A37447" w:rsidRDefault="00A37447">
            <w:pPr>
              <w:keepNext/>
              <w:spacing w:after="20"/>
              <w:jc w:val="right"/>
            </w:pPr>
            <w:r>
              <w:rPr>
                <w:sz w:val="16"/>
              </w:rPr>
              <w:t>-4,8 %</w:t>
            </w:r>
          </w:p>
        </w:tc>
        <w:tc>
          <w:tcPr>
            <w:tcW w:w="1063" w:type="dxa"/>
            <w:noWrap/>
          </w:tcPr>
          <w:p w14:paraId="0B0A1D5F" w14:textId="77777777" w:rsidR="00A37447" w:rsidRDefault="00A37447">
            <w:pPr>
              <w:keepNext/>
              <w:spacing w:after="20"/>
              <w:jc w:val="right"/>
            </w:pPr>
            <w:r>
              <w:rPr>
                <w:sz w:val="16"/>
              </w:rPr>
              <w:t>7,4 %</w:t>
            </w:r>
          </w:p>
        </w:tc>
      </w:tr>
      <w:tr w:rsidR="00855697" w14:paraId="0ABF2FD9" w14:textId="77777777">
        <w:trPr>
          <w:cantSplit/>
        </w:trPr>
        <w:tc>
          <w:tcPr>
            <w:tcW w:w="1063" w:type="dxa"/>
          </w:tcPr>
          <w:p w14:paraId="3A985F05" w14:textId="77777777" w:rsidR="00A37447" w:rsidRDefault="00A37447">
            <w:pPr>
              <w:keepNext/>
              <w:spacing w:after="20"/>
            </w:pPr>
            <w:r>
              <w:rPr>
                <w:sz w:val="17"/>
              </w:rPr>
              <w:t>Cat. E - Generadores eléctricos</w:t>
            </w:r>
          </w:p>
        </w:tc>
        <w:tc>
          <w:tcPr>
            <w:tcW w:w="1063" w:type="dxa"/>
            <w:noWrap/>
          </w:tcPr>
          <w:p w14:paraId="02821923" w14:textId="77777777" w:rsidR="00A37447" w:rsidRDefault="00A37447">
            <w:pPr>
              <w:keepNext/>
              <w:spacing w:after="20"/>
              <w:jc w:val="right"/>
            </w:pPr>
            <w:r>
              <w:rPr>
                <w:sz w:val="16"/>
              </w:rPr>
              <w:t>4,7</w:t>
            </w:r>
          </w:p>
        </w:tc>
        <w:tc>
          <w:tcPr>
            <w:tcW w:w="1063" w:type="dxa"/>
            <w:noWrap/>
          </w:tcPr>
          <w:p w14:paraId="540B10C8" w14:textId="77777777" w:rsidR="00A37447" w:rsidRDefault="00A37447">
            <w:pPr>
              <w:keepNext/>
              <w:spacing w:after="20"/>
              <w:jc w:val="right"/>
            </w:pPr>
            <w:r>
              <w:rPr>
                <w:sz w:val="16"/>
              </w:rPr>
              <w:t>8,2</w:t>
            </w:r>
          </w:p>
        </w:tc>
        <w:tc>
          <w:tcPr>
            <w:tcW w:w="1063" w:type="dxa"/>
            <w:noWrap/>
          </w:tcPr>
          <w:p w14:paraId="478FA3EC" w14:textId="77777777" w:rsidR="00A37447" w:rsidRDefault="00A37447">
            <w:pPr>
              <w:keepNext/>
              <w:spacing w:after="20"/>
              <w:jc w:val="right"/>
            </w:pPr>
            <w:r>
              <w:rPr>
                <w:sz w:val="16"/>
              </w:rPr>
              <w:t>8,4</w:t>
            </w:r>
          </w:p>
        </w:tc>
        <w:tc>
          <w:tcPr>
            <w:tcW w:w="1063" w:type="dxa"/>
            <w:noWrap/>
          </w:tcPr>
          <w:p w14:paraId="6C90685A" w14:textId="77777777" w:rsidR="00A37447" w:rsidRDefault="00A37447">
            <w:pPr>
              <w:keepNext/>
              <w:spacing w:after="20"/>
              <w:jc w:val="right"/>
            </w:pPr>
            <w:r>
              <w:rPr>
                <w:sz w:val="16"/>
              </w:rPr>
              <w:t>9,0</w:t>
            </w:r>
          </w:p>
        </w:tc>
        <w:tc>
          <w:tcPr>
            <w:tcW w:w="1063" w:type="dxa"/>
            <w:noWrap/>
          </w:tcPr>
          <w:p w14:paraId="7B0039CE" w14:textId="77777777" w:rsidR="00A37447" w:rsidRDefault="00A37447">
            <w:pPr>
              <w:keepNext/>
              <w:spacing w:after="20"/>
              <w:jc w:val="right"/>
            </w:pPr>
            <w:r>
              <w:rPr>
                <w:sz w:val="16"/>
              </w:rPr>
              <w:t>8,5</w:t>
            </w:r>
          </w:p>
        </w:tc>
        <w:tc>
          <w:tcPr>
            <w:tcW w:w="1063" w:type="dxa"/>
            <w:noWrap/>
          </w:tcPr>
          <w:p w14:paraId="52B69071" w14:textId="77777777" w:rsidR="00A37447" w:rsidRDefault="00A37447">
            <w:pPr>
              <w:keepNext/>
              <w:spacing w:after="20"/>
              <w:jc w:val="right"/>
            </w:pPr>
            <w:r>
              <w:rPr>
                <w:sz w:val="16"/>
              </w:rPr>
              <w:t>-5,5 %</w:t>
            </w:r>
          </w:p>
        </w:tc>
        <w:tc>
          <w:tcPr>
            <w:tcW w:w="1063" w:type="dxa"/>
            <w:noWrap/>
          </w:tcPr>
          <w:p w14:paraId="40D01B96" w14:textId="77777777" w:rsidR="00A37447" w:rsidRDefault="00A37447">
            <w:pPr>
              <w:keepNext/>
              <w:spacing w:after="20"/>
              <w:jc w:val="right"/>
            </w:pPr>
            <w:r>
              <w:rPr>
                <w:sz w:val="16"/>
              </w:rPr>
              <w:t>16,0 %</w:t>
            </w:r>
          </w:p>
        </w:tc>
      </w:tr>
    </w:tbl>
    <w:p w14:paraId="639B4FF4" w14:textId="77777777" w:rsidR="00A37447" w:rsidRPr="0036111A" w:rsidRDefault="00A37447">
      <w:pPr>
        <w:keepLines/>
        <w:spacing w:before="40"/>
        <w:jc w:val="right"/>
        <w:rPr>
          <w:lang w:val="es-PE"/>
        </w:rPr>
      </w:pPr>
      <w:r w:rsidRPr="0036111A">
        <w:rPr>
          <w:b/>
          <w:color w:val="404040"/>
          <w:sz w:val="15"/>
          <w:lang w:val="es-PE"/>
        </w:rPr>
        <w:t>FUENTE: Osinergmin, empresas del sector, APOYO Consultoría</w:t>
      </w:r>
    </w:p>
    <w:p w14:paraId="58571F5A" w14:textId="02BBC464" w:rsidR="00A37447" w:rsidRDefault="00A37447">
      <w:pPr>
        <w:spacing w:before="160"/>
        <w:jc w:val="center"/>
      </w:pPr>
      <w:r>
        <w:rPr>
          <w:noProof/>
        </w:rPr>
        <w:drawing>
          <wp:inline distT="0" distB="0" distL="0" distR="0" wp14:anchorId="00D350F4" wp14:editId="45D54581">
            <wp:extent cx="5400000" cy="3708387"/>
            <wp:effectExtent l="0" t="0" r="0" b="0"/>
            <wp:docPr id="2110891817" name="Imagen 211089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67.png"/>
                    <pic:cNvPicPr/>
                  </pic:nvPicPr>
                  <pic:blipFill>
                    <a:blip r:embed="rId80"/>
                    <a:stretch>
                      <a:fillRect/>
                    </a:stretch>
                  </pic:blipFill>
                  <pic:spPr>
                    <a:xfrm>
                      <a:off x="0" y="0"/>
                      <a:ext cx="5400000" cy="3708387"/>
                    </a:xfrm>
                    <a:prstGeom prst="rect">
                      <a:avLst/>
                    </a:prstGeom>
                  </pic:spPr>
                </pic:pic>
              </a:graphicData>
            </a:graphic>
          </wp:inline>
        </w:drawing>
      </w:r>
    </w:p>
    <w:p w14:paraId="215AA620" w14:textId="77777777" w:rsidR="00A37447" w:rsidRPr="0036111A" w:rsidRDefault="00A37447">
      <w:pPr>
        <w:pStyle w:val="Ttulo4"/>
        <w:pageBreakBefore/>
        <w:rPr>
          <w:lang w:val="es-PE"/>
        </w:rPr>
      </w:pPr>
      <w:bookmarkStart w:id="27" w:name="_Toc235083037"/>
      <w:r w:rsidRPr="0036111A">
        <w:rPr>
          <w:lang w:val="es-PE"/>
        </w:rPr>
        <w:lastRenderedPageBreak/>
        <w:t>3.2.8.4. Gases del Norte (Quavii)</w:t>
      </w:r>
      <w:bookmarkEnd w:id="27"/>
    </w:p>
    <w:p w14:paraId="2DA3D8B7" w14:textId="1229DDF1" w:rsidR="00A37447" w:rsidRPr="0036111A" w:rsidRDefault="00A37447">
      <w:pPr>
        <w:keepLines/>
        <w:spacing w:after="120"/>
        <w:rPr>
          <w:lang w:val="es-PE"/>
        </w:rPr>
      </w:pPr>
      <w:r w:rsidRPr="0036111A">
        <w:rPr>
          <w:lang w:val="es-PE"/>
        </w:rPr>
        <w:t>Gases del Norte del Perú mantuvo tarifas</w:t>
      </w:r>
      <w:r w:rsidR="00E97CC9">
        <w:rPr>
          <w:lang w:val="es-PE"/>
        </w:rPr>
        <w:t xml:space="preserve"> muy</w:t>
      </w:r>
      <w:r w:rsidRPr="0036111A">
        <w:rPr>
          <w:lang w:val="es-PE"/>
        </w:rPr>
        <w:t xml:space="preserve"> competitivas, con la categoría residencial</w:t>
      </w:r>
      <w:r w:rsidR="00E97CC9">
        <w:rPr>
          <w:lang w:val="es-PE"/>
        </w:rPr>
        <w:t xml:space="preserve"> más baja a nivel nacional</w:t>
      </w:r>
      <w:r w:rsidRPr="0036111A">
        <w:rPr>
          <w:lang w:val="es-PE"/>
        </w:rPr>
        <w:t xml:space="preserve"> en torno a US$ 11,3 por MMBTU en 2025</w:t>
      </w:r>
      <w:r w:rsidR="00D21555">
        <w:rPr>
          <w:lang w:val="es-PE"/>
        </w:rPr>
        <w:t xml:space="preserve">. Se registraron </w:t>
      </w:r>
      <w:r w:rsidRPr="0036111A">
        <w:rPr>
          <w:lang w:val="es-PE"/>
        </w:rPr>
        <w:t xml:space="preserve">ligeras caídas en dólares en todos los segmentos que </w:t>
      </w:r>
      <w:r>
        <w:rPr>
          <w:lang w:val="es-PE"/>
        </w:rPr>
        <w:t>–</w:t>
      </w:r>
      <w:r w:rsidRPr="0036111A">
        <w:rPr>
          <w:lang w:val="es-PE"/>
        </w:rPr>
        <w:t>como en el caso de Cálidda</w:t>
      </w:r>
      <w:r>
        <w:rPr>
          <w:lang w:val="es-PE"/>
        </w:rPr>
        <w:t>–</w:t>
      </w:r>
      <w:r w:rsidRPr="0036111A">
        <w:rPr>
          <w:lang w:val="es-PE"/>
        </w:rPr>
        <w:t xml:space="preserve"> son bastante mayores en soles</w:t>
      </w:r>
      <w:r w:rsidR="00D21555">
        <w:rPr>
          <w:lang w:val="es-PE"/>
        </w:rPr>
        <w:t xml:space="preserve"> (</w:t>
      </w:r>
      <w:r w:rsidRPr="0036111A">
        <w:rPr>
          <w:lang w:val="es-PE"/>
        </w:rPr>
        <w:t>cercanas a 13 %, por la apreciación de la moneda local</w:t>
      </w:r>
      <w:r w:rsidR="00D21555">
        <w:rPr>
          <w:lang w:val="es-PE"/>
        </w:rPr>
        <w:t>)</w:t>
      </w:r>
      <w:r w:rsidRPr="0036111A">
        <w:rPr>
          <w:lang w:val="es-PE"/>
        </w:rPr>
        <w:t>.</w:t>
      </w:r>
    </w:p>
    <w:p w14:paraId="01BDBC13" w14:textId="77777777" w:rsidR="00A37447" w:rsidRPr="0036111A" w:rsidRDefault="00A37447">
      <w:pPr>
        <w:keepNext/>
        <w:keepLines/>
        <w:spacing w:before="160" w:after="20"/>
        <w:rPr>
          <w:lang w:val="es-PE"/>
        </w:rPr>
      </w:pPr>
      <w:r w:rsidRPr="0036111A">
        <w:rPr>
          <w:b/>
          <w:color w:val="00838F"/>
          <w:sz w:val="20"/>
          <w:lang w:val="es-PE"/>
        </w:rPr>
        <w:t>GASES DEL NORTE: TARIFA COBRADA AL USUARIO FINAL</w:t>
      </w:r>
    </w:p>
    <w:p w14:paraId="66E4E557" w14:textId="77777777" w:rsidR="00A37447" w:rsidRPr="0036111A" w:rsidRDefault="00A37447">
      <w:pPr>
        <w:keepNext/>
        <w:keepLines/>
        <w:spacing w:after="60"/>
        <w:rPr>
          <w:lang w:val="es-PE"/>
        </w:rPr>
      </w:pPr>
      <w:r w:rsidRPr="0036111A">
        <w:rPr>
          <w:i/>
          <w:sz w:val="17"/>
          <w:lang w:val="es-PE"/>
        </w:rPr>
        <w:t>US$ por millón de BTU; tarifas a diciembre de cada año</w:t>
      </w:r>
      <w:r>
        <w:rPr>
          <w:i/>
          <w:sz w:val="17"/>
          <w:lang w:val="es-PE"/>
        </w:rPr>
        <w:t>.</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7D16E47A" w14:textId="77777777">
        <w:trPr>
          <w:cantSplit/>
          <w:tblHeader/>
        </w:trPr>
        <w:tc>
          <w:tcPr>
            <w:tcW w:w="1063" w:type="dxa"/>
            <w:shd w:val="clear" w:color="auto" w:fill="1F3864"/>
          </w:tcPr>
          <w:p w14:paraId="763F1C89" w14:textId="77777777" w:rsidR="00A37447" w:rsidRDefault="00A37447">
            <w:pPr>
              <w:keepNext/>
            </w:pPr>
            <w:r>
              <w:rPr>
                <w:b/>
                <w:color w:val="FFFFFF"/>
                <w:sz w:val="17"/>
              </w:rPr>
              <w:t>Categoría</w:t>
            </w:r>
          </w:p>
        </w:tc>
        <w:tc>
          <w:tcPr>
            <w:tcW w:w="1063" w:type="dxa"/>
            <w:shd w:val="clear" w:color="auto" w:fill="1F3864"/>
            <w:noWrap/>
          </w:tcPr>
          <w:p w14:paraId="6E36B41F" w14:textId="77777777" w:rsidR="00A37447" w:rsidRDefault="00A37447">
            <w:pPr>
              <w:keepNext/>
              <w:jc w:val="right"/>
            </w:pPr>
            <w:r>
              <w:rPr>
                <w:b/>
                <w:color w:val="FFFFFF"/>
                <w:sz w:val="17"/>
              </w:rPr>
              <w:t>2021</w:t>
            </w:r>
          </w:p>
        </w:tc>
        <w:tc>
          <w:tcPr>
            <w:tcW w:w="1063" w:type="dxa"/>
            <w:shd w:val="clear" w:color="auto" w:fill="1F3864"/>
            <w:noWrap/>
          </w:tcPr>
          <w:p w14:paraId="43A8E8F2" w14:textId="77777777" w:rsidR="00A37447" w:rsidRDefault="00A37447">
            <w:pPr>
              <w:keepNext/>
              <w:jc w:val="right"/>
            </w:pPr>
            <w:r>
              <w:rPr>
                <w:b/>
                <w:color w:val="FFFFFF"/>
                <w:sz w:val="17"/>
              </w:rPr>
              <w:t>2022</w:t>
            </w:r>
          </w:p>
        </w:tc>
        <w:tc>
          <w:tcPr>
            <w:tcW w:w="1063" w:type="dxa"/>
            <w:shd w:val="clear" w:color="auto" w:fill="1F3864"/>
            <w:noWrap/>
          </w:tcPr>
          <w:p w14:paraId="41FD641B" w14:textId="77777777" w:rsidR="00A37447" w:rsidRDefault="00A37447">
            <w:pPr>
              <w:keepNext/>
              <w:jc w:val="right"/>
            </w:pPr>
            <w:r>
              <w:rPr>
                <w:b/>
                <w:color w:val="FFFFFF"/>
                <w:sz w:val="17"/>
              </w:rPr>
              <w:t>2023</w:t>
            </w:r>
          </w:p>
        </w:tc>
        <w:tc>
          <w:tcPr>
            <w:tcW w:w="1063" w:type="dxa"/>
            <w:shd w:val="clear" w:color="auto" w:fill="1F3864"/>
            <w:noWrap/>
          </w:tcPr>
          <w:p w14:paraId="30F631A2" w14:textId="77777777" w:rsidR="00A37447" w:rsidRDefault="00A37447">
            <w:pPr>
              <w:keepNext/>
              <w:jc w:val="right"/>
            </w:pPr>
            <w:r>
              <w:rPr>
                <w:b/>
                <w:color w:val="FFFFFF"/>
                <w:sz w:val="17"/>
              </w:rPr>
              <w:t>2024</w:t>
            </w:r>
          </w:p>
        </w:tc>
        <w:tc>
          <w:tcPr>
            <w:tcW w:w="1063" w:type="dxa"/>
            <w:shd w:val="clear" w:color="auto" w:fill="1F3864"/>
            <w:noWrap/>
          </w:tcPr>
          <w:p w14:paraId="6FDAD4D0" w14:textId="77777777" w:rsidR="00A37447" w:rsidRDefault="00A37447">
            <w:pPr>
              <w:keepNext/>
              <w:jc w:val="right"/>
            </w:pPr>
            <w:r>
              <w:rPr>
                <w:b/>
                <w:color w:val="FFFFFF"/>
                <w:sz w:val="17"/>
              </w:rPr>
              <w:t>2025</w:t>
            </w:r>
          </w:p>
        </w:tc>
        <w:tc>
          <w:tcPr>
            <w:tcW w:w="1063" w:type="dxa"/>
            <w:shd w:val="clear" w:color="auto" w:fill="1F3864"/>
          </w:tcPr>
          <w:p w14:paraId="39231BE9" w14:textId="77777777" w:rsidR="00A37447" w:rsidRDefault="00A37447">
            <w:pPr>
              <w:keepNext/>
              <w:jc w:val="right"/>
            </w:pPr>
            <w:r>
              <w:rPr>
                <w:b/>
                <w:color w:val="FFFFFF"/>
                <w:sz w:val="17"/>
              </w:rPr>
              <w:t>Var. % 2025 vs 2024</w:t>
            </w:r>
          </w:p>
        </w:tc>
        <w:tc>
          <w:tcPr>
            <w:tcW w:w="1063" w:type="dxa"/>
            <w:shd w:val="clear" w:color="auto" w:fill="1F3864"/>
          </w:tcPr>
          <w:p w14:paraId="12F2864D" w14:textId="77777777" w:rsidR="00A37447" w:rsidRDefault="00A37447">
            <w:pPr>
              <w:keepNext/>
              <w:jc w:val="right"/>
            </w:pPr>
            <w:r>
              <w:rPr>
                <w:b/>
                <w:color w:val="FFFFFF"/>
                <w:sz w:val="17"/>
              </w:rPr>
              <w:t>TACC 2021-2025</w:t>
            </w:r>
          </w:p>
        </w:tc>
      </w:tr>
      <w:tr w:rsidR="00855697" w14:paraId="6FE408E5" w14:textId="77777777">
        <w:trPr>
          <w:cantSplit/>
        </w:trPr>
        <w:tc>
          <w:tcPr>
            <w:tcW w:w="1063" w:type="dxa"/>
          </w:tcPr>
          <w:p w14:paraId="72481879" w14:textId="77777777" w:rsidR="00A37447" w:rsidRDefault="00A37447">
            <w:pPr>
              <w:keepNext/>
              <w:spacing w:after="20"/>
            </w:pPr>
            <w:r>
              <w:rPr>
                <w:sz w:val="17"/>
              </w:rPr>
              <w:t>Cat. A1</w:t>
            </w:r>
          </w:p>
        </w:tc>
        <w:tc>
          <w:tcPr>
            <w:tcW w:w="1063" w:type="dxa"/>
            <w:noWrap/>
          </w:tcPr>
          <w:p w14:paraId="52DFD969" w14:textId="77777777" w:rsidR="00A37447" w:rsidRDefault="00A37447">
            <w:pPr>
              <w:keepNext/>
              <w:spacing w:after="20"/>
              <w:jc w:val="right"/>
            </w:pPr>
            <w:r>
              <w:rPr>
                <w:sz w:val="16"/>
              </w:rPr>
              <w:t>12,6</w:t>
            </w:r>
          </w:p>
        </w:tc>
        <w:tc>
          <w:tcPr>
            <w:tcW w:w="1063" w:type="dxa"/>
            <w:noWrap/>
          </w:tcPr>
          <w:p w14:paraId="70A469EF" w14:textId="77777777" w:rsidR="00A37447" w:rsidRDefault="00A37447">
            <w:pPr>
              <w:keepNext/>
              <w:spacing w:after="20"/>
              <w:jc w:val="right"/>
            </w:pPr>
            <w:r>
              <w:rPr>
                <w:sz w:val="16"/>
              </w:rPr>
              <w:t>12,3</w:t>
            </w:r>
          </w:p>
        </w:tc>
        <w:tc>
          <w:tcPr>
            <w:tcW w:w="1063" w:type="dxa"/>
            <w:noWrap/>
          </w:tcPr>
          <w:p w14:paraId="6E80D907" w14:textId="77777777" w:rsidR="00A37447" w:rsidRDefault="00A37447">
            <w:pPr>
              <w:keepNext/>
              <w:spacing w:after="20"/>
              <w:jc w:val="right"/>
            </w:pPr>
            <w:r>
              <w:rPr>
                <w:sz w:val="16"/>
              </w:rPr>
              <w:t>12,4</w:t>
            </w:r>
          </w:p>
        </w:tc>
        <w:tc>
          <w:tcPr>
            <w:tcW w:w="1063" w:type="dxa"/>
            <w:noWrap/>
          </w:tcPr>
          <w:p w14:paraId="6012CE43" w14:textId="77777777" w:rsidR="00A37447" w:rsidRDefault="00A37447">
            <w:pPr>
              <w:keepNext/>
              <w:spacing w:after="20"/>
              <w:jc w:val="right"/>
            </w:pPr>
            <w:r>
              <w:rPr>
                <w:sz w:val="16"/>
              </w:rPr>
              <w:t>11,6</w:t>
            </w:r>
          </w:p>
        </w:tc>
        <w:tc>
          <w:tcPr>
            <w:tcW w:w="1063" w:type="dxa"/>
            <w:noWrap/>
          </w:tcPr>
          <w:p w14:paraId="4C7FCFC2" w14:textId="77777777" w:rsidR="00A37447" w:rsidRDefault="00A37447">
            <w:pPr>
              <w:keepNext/>
              <w:spacing w:after="20"/>
              <w:jc w:val="right"/>
            </w:pPr>
            <w:r>
              <w:rPr>
                <w:sz w:val="16"/>
              </w:rPr>
              <w:t>11,3</w:t>
            </w:r>
          </w:p>
        </w:tc>
        <w:tc>
          <w:tcPr>
            <w:tcW w:w="1063" w:type="dxa"/>
            <w:noWrap/>
          </w:tcPr>
          <w:p w14:paraId="5E522323" w14:textId="77777777" w:rsidR="00A37447" w:rsidRDefault="00A37447">
            <w:pPr>
              <w:keepNext/>
              <w:spacing w:after="20"/>
              <w:jc w:val="right"/>
            </w:pPr>
            <w:r>
              <w:rPr>
                <w:sz w:val="16"/>
              </w:rPr>
              <w:t>-2,3 %</w:t>
            </w:r>
          </w:p>
        </w:tc>
        <w:tc>
          <w:tcPr>
            <w:tcW w:w="1063" w:type="dxa"/>
            <w:noWrap/>
          </w:tcPr>
          <w:p w14:paraId="101AD181" w14:textId="77777777" w:rsidR="00A37447" w:rsidRDefault="00A37447">
            <w:pPr>
              <w:keepNext/>
              <w:spacing w:after="20"/>
              <w:jc w:val="right"/>
            </w:pPr>
            <w:r>
              <w:rPr>
                <w:sz w:val="16"/>
              </w:rPr>
              <w:t>-2,6 %</w:t>
            </w:r>
          </w:p>
        </w:tc>
      </w:tr>
      <w:tr w:rsidR="00855697" w14:paraId="6F3CED29" w14:textId="77777777">
        <w:trPr>
          <w:cantSplit/>
        </w:trPr>
        <w:tc>
          <w:tcPr>
            <w:tcW w:w="1063" w:type="dxa"/>
          </w:tcPr>
          <w:p w14:paraId="1A361A87" w14:textId="77777777" w:rsidR="00A37447" w:rsidRDefault="00A37447">
            <w:pPr>
              <w:keepNext/>
              <w:spacing w:after="20"/>
            </w:pPr>
            <w:r>
              <w:rPr>
                <w:sz w:val="17"/>
              </w:rPr>
              <w:t>Cat. A2</w:t>
            </w:r>
          </w:p>
        </w:tc>
        <w:tc>
          <w:tcPr>
            <w:tcW w:w="1063" w:type="dxa"/>
            <w:noWrap/>
          </w:tcPr>
          <w:p w14:paraId="28A45EB9" w14:textId="77777777" w:rsidR="00A37447" w:rsidRDefault="00A37447">
            <w:pPr>
              <w:keepNext/>
              <w:spacing w:after="20"/>
              <w:jc w:val="right"/>
            </w:pPr>
            <w:r>
              <w:rPr>
                <w:sz w:val="16"/>
              </w:rPr>
              <w:t>11,3</w:t>
            </w:r>
          </w:p>
        </w:tc>
        <w:tc>
          <w:tcPr>
            <w:tcW w:w="1063" w:type="dxa"/>
            <w:noWrap/>
          </w:tcPr>
          <w:p w14:paraId="44D2A318" w14:textId="77777777" w:rsidR="00A37447" w:rsidRDefault="00A37447">
            <w:pPr>
              <w:keepNext/>
              <w:spacing w:after="20"/>
              <w:jc w:val="right"/>
            </w:pPr>
            <w:r>
              <w:rPr>
                <w:sz w:val="16"/>
              </w:rPr>
              <w:t>10,7</w:t>
            </w:r>
          </w:p>
        </w:tc>
        <w:tc>
          <w:tcPr>
            <w:tcW w:w="1063" w:type="dxa"/>
            <w:noWrap/>
          </w:tcPr>
          <w:p w14:paraId="5FC798EC" w14:textId="77777777" w:rsidR="00A37447" w:rsidRDefault="00A37447">
            <w:pPr>
              <w:keepNext/>
              <w:spacing w:after="20"/>
              <w:jc w:val="right"/>
            </w:pPr>
            <w:r>
              <w:rPr>
                <w:sz w:val="16"/>
              </w:rPr>
              <w:t>11,0</w:t>
            </w:r>
          </w:p>
        </w:tc>
        <w:tc>
          <w:tcPr>
            <w:tcW w:w="1063" w:type="dxa"/>
            <w:noWrap/>
          </w:tcPr>
          <w:p w14:paraId="07428156" w14:textId="77777777" w:rsidR="00A37447" w:rsidRDefault="00A37447">
            <w:pPr>
              <w:keepNext/>
              <w:spacing w:after="20"/>
              <w:jc w:val="right"/>
            </w:pPr>
            <w:r>
              <w:rPr>
                <w:sz w:val="16"/>
              </w:rPr>
              <w:t>10,3</w:t>
            </w:r>
          </w:p>
        </w:tc>
        <w:tc>
          <w:tcPr>
            <w:tcW w:w="1063" w:type="dxa"/>
            <w:noWrap/>
          </w:tcPr>
          <w:p w14:paraId="1D686D6D" w14:textId="77777777" w:rsidR="00A37447" w:rsidRDefault="00A37447">
            <w:pPr>
              <w:keepNext/>
              <w:spacing w:after="20"/>
              <w:jc w:val="right"/>
            </w:pPr>
            <w:r>
              <w:rPr>
                <w:sz w:val="16"/>
              </w:rPr>
              <w:t>10,0</w:t>
            </w:r>
          </w:p>
        </w:tc>
        <w:tc>
          <w:tcPr>
            <w:tcW w:w="1063" w:type="dxa"/>
            <w:noWrap/>
          </w:tcPr>
          <w:p w14:paraId="4A3AB661" w14:textId="77777777" w:rsidR="00A37447" w:rsidRDefault="00A37447">
            <w:pPr>
              <w:keepNext/>
              <w:spacing w:after="20"/>
              <w:jc w:val="right"/>
            </w:pPr>
            <w:r>
              <w:rPr>
                <w:sz w:val="16"/>
              </w:rPr>
              <w:t>-2,3 %</w:t>
            </w:r>
          </w:p>
        </w:tc>
        <w:tc>
          <w:tcPr>
            <w:tcW w:w="1063" w:type="dxa"/>
            <w:noWrap/>
          </w:tcPr>
          <w:p w14:paraId="49738187" w14:textId="77777777" w:rsidR="00A37447" w:rsidRDefault="00A37447">
            <w:pPr>
              <w:keepNext/>
              <w:spacing w:after="20"/>
              <w:jc w:val="right"/>
            </w:pPr>
            <w:r>
              <w:rPr>
                <w:sz w:val="16"/>
              </w:rPr>
              <w:t>-2,8 %</w:t>
            </w:r>
          </w:p>
        </w:tc>
      </w:tr>
      <w:tr w:rsidR="00855697" w14:paraId="46ACFB00" w14:textId="77777777">
        <w:trPr>
          <w:cantSplit/>
        </w:trPr>
        <w:tc>
          <w:tcPr>
            <w:tcW w:w="1063" w:type="dxa"/>
          </w:tcPr>
          <w:p w14:paraId="0F6324ED" w14:textId="77777777" w:rsidR="00A37447" w:rsidRDefault="00A37447">
            <w:pPr>
              <w:keepNext/>
              <w:spacing w:after="20"/>
            </w:pPr>
            <w:r>
              <w:rPr>
                <w:sz w:val="17"/>
              </w:rPr>
              <w:t>Cat. B</w:t>
            </w:r>
          </w:p>
        </w:tc>
        <w:tc>
          <w:tcPr>
            <w:tcW w:w="1063" w:type="dxa"/>
            <w:noWrap/>
          </w:tcPr>
          <w:p w14:paraId="698C4248" w14:textId="77777777" w:rsidR="00A37447" w:rsidRDefault="00A37447">
            <w:pPr>
              <w:keepNext/>
              <w:spacing w:after="20"/>
              <w:jc w:val="right"/>
            </w:pPr>
            <w:r>
              <w:rPr>
                <w:sz w:val="16"/>
              </w:rPr>
              <w:t>10,4</w:t>
            </w:r>
          </w:p>
        </w:tc>
        <w:tc>
          <w:tcPr>
            <w:tcW w:w="1063" w:type="dxa"/>
            <w:noWrap/>
          </w:tcPr>
          <w:p w14:paraId="44D7A81C" w14:textId="77777777" w:rsidR="00A37447" w:rsidRDefault="00A37447">
            <w:pPr>
              <w:keepNext/>
              <w:spacing w:after="20"/>
              <w:jc w:val="right"/>
            </w:pPr>
            <w:r>
              <w:rPr>
                <w:sz w:val="16"/>
              </w:rPr>
              <w:t>9,7</w:t>
            </w:r>
          </w:p>
        </w:tc>
        <w:tc>
          <w:tcPr>
            <w:tcW w:w="1063" w:type="dxa"/>
            <w:noWrap/>
          </w:tcPr>
          <w:p w14:paraId="20591FDA" w14:textId="77777777" w:rsidR="00A37447" w:rsidRDefault="00A37447">
            <w:pPr>
              <w:keepNext/>
              <w:spacing w:after="20"/>
              <w:jc w:val="right"/>
            </w:pPr>
            <w:r>
              <w:rPr>
                <w:sz w:val="16"/>
              </w:rPr>
              <w:t>10,1</w:t>
            </w:r>
          </w:p>
        </w:tc>
        <w:tc>
          <w:tcPr>
            <w:tcW w:w="1063" w:type="dxa"/>
            <w:noWrap/>
          </w:tcPr>
          <w:p w14:paraId="1627B455" w14:textId="77777777" w:rsidR="00A37447" w:rsidRDefault="00A37447">
            <w:pPr>
              <w:keepNext/>
              <w:spacing w:after="20"/>
              <w:jc w:val="right"/>
            </w:pPr>
            <w:r>
              <w:rPr>
                <w:sz w:val="16"/>
              </w:rPr>
              <w:t>9,4</w:t>
            </w:r>
          </w:p>
        </w:tc>
        <w:tc>
          <w:tcPr>
            <w:tcW w:w="1063" w:type="dxa"/>
            <w:noWrap/>
          </w:tcPr>
          <w:p w14:paraId="0C3DD4F5" w14:textId="77777777" w:rsidR="00A37447" w:rsidRDefault="00A37447">
            <w:pPr>
              <w:keepNext/>
              <w:spacing w:after="20"/>
              <w:jc w:val="right"/>
            </w:pPr>
            <w:r>
              <w:rPr>
                <w:sz w:val="16"/>
              </w:rPr>
              <w:t>9,2</w:t>
            </w:r>
          </w:p>
        </w:tc>
        <w:tc>
          <w:tcPr>
            <w:tcW w:w="1063" w:type="dxa"/>
            <w:noWrap/>
          </w:tcPr>
          <w:p w14:paraId="3B1F77B2" w14:textId="77777777" w:rsidR="00A37447" w:rsidRDefault="00A37447">
            <w:pPr>
              <w:keepNext/>
              <w:spacing w:after="20"/>
              <w:jc w:val="right"/>
            </w:pPr>
            <w:r>
              <w:rPr>
                <w:sz w:val="16"/>
              </w:rPr>
              <w:t>-2,4 %</w:t>
            </w:r>
          </w:p>
        </w:tc>
        <w:tc>
          <w:tcPr>
            <w:tcW w:w="1063" w:type="dxa"/>
            <w:noWrap/>
          </w:tcPr>
          <w:p w14:paraId="413FC673" w14:textId="77777777" w:rsidR="00A37447" w:rsidRDefault="00A37447">
            <w:pPr>
              <w:keepNext/>
              <w:spacing w:after="20"/>
              <w:jc w:val="right"/>
            </w:pPr>
            <w:r>
              <w:rPr>
                <w:sz w:val="16"/>
              </w:rPr>
              <w:t>-3,0 %</w:t>
            </w:r>
          </w:p>
        </w:tc>
      </w:tr>
      <w:tr w:rsidR="00855697" w14:paraId="51758E9C" w14:textId="77777777">
        <w:trPr>
          <w:cantSplit/>
        </w:trPr>
        <w:tc>
          <w:tcPr>
            <w:tcW w:w="1063" w:type="dxa"/>
          </w:tcPr>
          <w:p w14:paraId="752604F1" w14:textId="77777777" w:rsidR="00A37447" w:rsidRDefault="00A37447">
            <w:pPr>
              <w:keepNext/>
              <w:spacing w:after="20"/>
            </w:pPr>
            <w:r>
              <w:rPr>
                <w:sz w:val="17"/>
              </w:rPr>
              <w:t>Cat. C</w:t>
            </w:r>
          </w:p>
        </w:tc>
        <w:tc>
          <w:tcPr>
            <w:tcW w:w="1063" w:type="dxa"/>
            <w:noWrap/>
          </w:tcPr>
          <w:p w14:paraId="4E987880" w14:textId="77777777" w:rsidR="00A37447" w:rsidRDefault="00A37447">
            <w:pPr>
              <w:keepNext/>
              <w:spacing w:after="20"/>
              <w:jc w:val="right"/>
            </w:pPr>
            <w:r>
              <w:rPr>
                <w:sz w:val="16"/>
              </w:rPr>
              <w:t>9,6</w:t>
            </w:r>
          </w:p>
        </w:tc>
        <w:tc>
          <w:tcPr>
            <w:tcW w:w="1063" w:type="dxa"/>
            <w:noWrap/>
          </w:tcPr>
          <w:p w14:paraId="4A53B684" w14:textId="77777777" w:rsidR="00A37447" w:rsidRDefault="00A37447">
            <w:pPr>
              <w:keepNext/>
              <w:spacing w:after="20"/>
              <w:jc w:val="right"/>
            </w:pPr>
            <w:r>
              <w:rPr>
                <w:sz w:val="16"/>
              </w:rPr>
              <w:t>8,9</w:t>
            </w:r>
          </w:p>
        </w:tc>
        <w:tc>
          <w:tcPr>
            <w:tcW w:w="1063" w:type="dxa"/>
            <w:noWrap/>
          </w:tcPr>
          <w:p w14:paraId="088DD500" w14:textId="77777777" w:rsidR="00A37447" w:rsidRDefault="00A37447">
            <w:pPr>
              <w:keepNext/>
              <w:spacing w:after="20"/>
              <w:jc w:val="right"/>
            </w:pPr>
            <w:r>
              <w:rPr>
                <w:sz w:val="16"/>
              </w:rPr>
              <w:t>9,3</w:t>
            </w:r>
          </w:p>
        </w:tc>
        <w:tc>
          <w:tcPr>
            <w:tcW w:w="1063" w:type="dxa"/>
            <w:noWrap/>
          </w:tcPr>
          <w:p w14:paraId="44311BD2" w14:textId="77777777" w:rsidR="00A37447" w:rsidRDefault="00A37447">
            <w:pPr>
              <w:keepNext/>
              <w:spacing w:after="20"/>
              <w:jc w:val="right"/>
            </w:pPr>
            <w:r>
              <w:rPr>
                <w:sz w:val="16"/>
              </w:rPr>
              <w:t>8,7</w:t>
            </w:r>
          </w:p>
        </w:tc>
        <w:tc>
          <w:tcPr>
            <w:tcW w:w="1063" w:type="dxa"/>
            <w:noWrap/>
          </w:tcPr>
          <w:p w14:paraId="2B051152" w14:textId="77777777" w:rsidR="00A37447" w:rsidRDefault="00A37447">
            <w:pPr>
              <w:keepNext/>
              <w:spacing w:after="20"/>
              <w:jc w:val="right"/>
            </w:pPr>
            <w:r>
              <w:rPr>
                <w:sz w:val="16"/>
              </w:rPr>
              <w:t>8,5</w:t>
            </w:r>
          </w:p>
        </w:tc>
        <w:tc>
          <w:tcPr>
            <w:tcW w:w="1063" w:type="dxa"/>
            <w:noWrap/>
          </w:tcPr>
          <w:p w14:paraId="7C763BF2" w14:textId="77777777" w:rsidR="00A37447" w:rsidRDefault="00A37447">
            <w:pPr>
              <w:keepNext/>
              <w:spacing w:after="20"/>
              <w:jc w:val="right"/>
            </w:pPr>
            <w:r>
              <w:rPr>
                <w:sz w:val="16"/>
              </w:rPr>
              <w:t>-2,5 %</w:t>
            </w:r>
          </w:p>
        </w:tc>
        <w:tc>
          <w:tcPr>
            <w:tcW w:w="1063" w:type="dxa"/>
            <w:noWrap/>
          </w:tcPr>
          <w:p w14:paraId="5EE6A5DA" w14:textId="77777777" w:rsidR="00A37447" w:rsidRDefault="00A37447">
            <w:pPr>
              <w:keepNext/>
              <w:spacing w:after="20"/>
              <w:jc w:val="right"/>
            </w:pPr>
            <w:r>
              <w:rPr>
                <w:sz w:val="16"/>
              </w:rPr>
              <w:t>-3,1 %</w:t>
            </w:r>
          </w:p>
        </w:tc>
      </w:tr>
      <w:tr w:rsidR="00855697" w14:paraId="44E7EB69" w14:textId="77777777">
        <w:trPr>
          <w:cantSplit/>
        </w:trPr>
        <w:tc>
          <w:tcPr>
            <w:tcW w:w="1063" w:type="dxa"/>
          </w:tcPr>
          <w:p w14:paraId="25ECDE86" w14:textId="77777777" w:rsidR="00A37447" w:rsidRDefault="00A37447">
            <w:pPr>
              <w:keepNext/>
              <w:spacing w:after="20"/>
            </w:pPr>
            <w:r>
              <w:rPr>
                <w:sz w:val="17"/>
              </w:rPr>
              <w:t>Cat. D</w:t>
            </w:r>
          </w:p>
        </w:tc>
        <w:tc>
          <w:tcPr>
            <w:tcW w:w="1063" w:type="dxa"/>
            <w:noWrap/>
          </w:tcPr>
          <w:p w14:paraId="0B218B15" w14:textId="77777777" w:rsidR="00A37447" w:rsidRDefault="00A37447">
            <w:pPr>
              <w:keepNext/>
              <w:spacing w:after="20"/>
              <w:jc w:val="right"/>
            </w:pPr>
            <w:r>
              <w:rPr>
                <w:sz w:val="16"/>
              </w:rPr>
              <w:t>9,2</w:t>
            </w:r>
          </w:p>
        </w:tc>
        <w:tc>
          <w:tcPr>
            <w:tcW w:w="1063" w:type="dxa"/>
            <w:noWrap/>
          </w:tcPr>
          <w:p w14:paraId="20E15449" w14:textId="77777777" w:rsidR="00A37447" w:rsidRDefault="00A37447">
            <w:pPr>
              <w:keepNext/>
              <w:spacing w:after="20"/>
              <w:jc w:val="right"/>
            </w:pPr>
            <w:r>
              <w:rPr>
                <w:sz w:val="16"/>
              </w:rPr>
              <w:t>8,4</w:t>
            </w:r>
          </w:p>
        </w:tc>
        <w:tc>
          <w:tcPr>
            <w:tcW w:w="1063" w:type="dxa"/>
            <w:noWrap/>
          </w:tcPr>
          <w:p w14:paraId="7F6B3C13" w14:textId="77777777" w:rsidR="00A37447" w:rsidRDefault="00A37447">
            <w:pPr>
              <w:keepNext/>
              <w:spacing w:after="20"/>
              <w:jc w:val="right"/>
            </w:pPr>
            <w:r>
              <w:rPr>
                <w:sz w:val="16"/>
              </w:rPr>
              <w:t>8,9</w:t>
            </w:r>
          </w:p>
        </w:tc>
        <w:tc>
          <w:tcPr>
            <w:tcW w:w="1063" w:type="dxa"/>
            <w:noWrap/>
          </w:tcPr>
          <w:p w14:paraId="4FEC90A6" w14:textId="77777777" w:rsidR="00A37447" w:rsidRDefault="00A37447">
            <w:pPr>
              <w:keepNext/>
              <w:spacing w:after="20"/>
              <w:jc w:val="right"/>
            </w:pPr>
            <w:r>
              <w:rPr>
                <w:sz w:val="16"/>
              </w:rPr>
              <w:t>8,3</w:t>
            </w:r>
          </w:p>
        </w:tc>
        <w:tc>
          <w:tcPr>
            <w:tcW w:w="1063" w:type="dxa"/>
            <w:noWrap/>
          </w:tcPr>
          <w:p w14:paraId="417611F0" w14:textId="77777777" w:rsidR="00A37447" w:rsidRDefault="00A37447">
            <w:pPr>
              <w:keepNext/>
              <w:spacing w:after="20"/>
              <w:jc w:val="right"/>
            </w:pPr>
            <w:r>
              <w:rPr>
                <w:sz w:val="16"/>
              </w:rPr>
              <w:t>8,1</w:t>
            </w:r>
          </w:p>
        </w:tc>
        <w:tc>
          <w:tcPr>
            <w:tcW w:w="1063" w:type="dxa"/>
            <w:noWrap/>
          </w:tcPr>
          <w:p w14:paraId="699AF1A9" w14:textId="77777777" w:rsidR="00A37447" w:rsidRDefault="00A37447">
            <w:pPr>
              <w:keepNext/>
              <w:spacing w:after="20"/>
              <w:jc w:val="right"/>
            </w:pPr>
            <w:r>
              <w:rPr>
                <w:sz w:val="16"/>
              </w:rPr>
              <w:t>-2,5 %</w:t>
            </w:r>
          </w:p>
        </w:tc>
        <w:tc>
          <w:tcPr>
            <w:tcW w:w="1063" w:type="dxa"/>
            <w:noWrap/>
          </w:tcPr>
          <w:p w14:paraId="7835D98D" w14:textId="77777777" w:rsidR="00A37447" w:rsidRDefault="00A37447">
            <w:pPr>
              <w:keepNext/>
              <w:spacing w:after="20"/>
              <w:jc w:val="right"/>
            </w:pPr>
            <w:r>
              <w:rPr>
                <w:sz w:val="16"/>
              </w:rPr>
              <w:t>-3,2 %</w:t>
            </w:r>
          </w:p>
        </w:tc>
      </w:tr>
      <w:tr w:rsidR="00855697" w14:paraId="23EAF604" w14:textId="77777777">
        <w:trPr>
          <w:cantSplit/>
        </w:trPr>
        <w:tc>
          <w:tcPr>
            <w:tcW w:w="1063" w:type="dxa"/>
          </w:tcPr>
          <w:p w14:paraId="103EF849" w14:textId="77777777" w:rsidR="00A37447" w:rsidRDefault="00A37447">
            <w:pPr>
              <w:keepNext/>
              <w:spacing w:after="20"/>
            </w:pPr>
            <w:r>
              <w:rPr>
                <w:sz w:val="17"/>
              </w:rPr>
              <w:t>Cat. E</w:t>
            </w:r>
          </w:p>
        </w:tc>
        <w:tc>
          <w:tcPr>
            <w:tcW w:w="1063" w:type="dxa"/>
            <w:noWrap/>
          </w:tcPr>
          <w:p w14:paraId="5AC7B387" w14:textId="77777777" w:rsidR="00A37447" w:rsidRDefault="00A37447">
            <w:pPr>
              <w:keepNext/>
              <w:spacing w:after="20"/>
              <w:jc w:val="right"/>
            </w:pPr>
            <w:r>
              <w:rPr>
                <w:sz w:val="16"/>
              </w:rPr>
              <w:t>9,1</w:t>
            </w:r>
          </w:p>
        </w:tc>
        <w:tc>
          <w:tcPr>
            <w:tcW w:w="1063" w:type="dxa"/>
            <w:noWrap/>
          </w:tcPr>
          <w:p w14:paraId="3A3F25EC" w14:textId="77777777" w:rsidR="00A37447" w:rsidRDefault="00A37447">
            <w:pPr>
              <w:keepNext/>
              <w:spacing w:after="20"/>
              <w:jc w:val="right"/>
            </w:pPr>
            <w:r>
              <w:rPr>
                <w:sz w:val="16"/>
              </w:rPr>
              <w:t>8,2</w:t>
            </w:r>
          </w:p>
        </w:tc>
        <w:tc>
          <w:tcPr>
            <w:tcW w:w="1063" w:type="dxa"/>
            <w:noWrap/>
          </w:tcPr>
          <w:p w14:paraId="239EAD72" w14:textId="77777777" w:rsidR="00A37447" w:rsidRDefault="00A37447">
            <w:pPr>
              <w:keepNext/>
              <w:spacing w:after="20"/>
              <w:jc w:val="right"/>
            </w:pPr>
            <w:r>
              <w:rPr>
                <w:sz w:val="16"/>
              </w:rPr>
              <w:t>8,7</w:t>
            </w:r>
          </w:p>
        </w:tc>
        <w:tc>
          <w:tcPr>
            <w:tcW w:w="1063" w:type="dxa"/>
            <w:noWrap/>
          </w:tcPr>
          <w:p w14:paraId="1970B8AC" w14:textId="77777777" w:rsidR="00A37447" w:rsidRDefault="00A37447">
            <w:pPr>
              <w:keepNext/>
              <w:spacing w:after="20"/>
              <w:jc w:val="right"/>
            </w:pPr>
            <w:r>
              <w:rPr>
                <w:sz w:val="16"/>
              </w:rPr>
              <w:t>8,1</w:t>
            </w:r>
          </w:p>
        </w:tc>
        <w:tc>
          <w:tcPr>
            <w:tcW w:w="1063" w:type="dxa"/>
            <w:noWrap/>
          </w:tcPr>
          <w:p w14:paraId="14695230" w14:textId="77777777" w:rsidR="00A37447" w:rsidRDefault="00A37447">
            <w:pPr>
              <w:keepNext/>
              <w:spacing w:after="20"/>
              <w:jc w:val="right"/>
            </w:pPr>
            <w:r>
              <w:rPr>
                <w:sz w:val="16"/>
              </w:rPr>
              <w:t>7,9</w:t>
            </w:r>
          </w:p>
        </w:tc>
        <w:tc>
          <w:tcPr>
            <w:tcW w:w="1063" w:type="dxa"/>
            <w:noWrap/>
          </w:tcPr>
          <w:p w14:paraId="2782BBA7" w14:textId="77777777" w:rsidR="00A37447" w:rsidRDefault="00A37447">
            <w:pPr>
              <w:keepNext/>
              <w:spacing w:after="20"/>
              <w:jc w:val="right"/>
            </w:pPr>
            <w:r>
              <w:rPr>
                <w:sz w:val="16"/>
              </w:rPr>
              <w:t>-2,5 %</w:t>
            </w:r>
          </w:p>
        </w:tc>
        <w:tc>
          <w:tcPr>
            <w:tcW w:w="1063" w:type="dxa"/>
            <w:noWrap/>
          </w:tcPr>
          <w:p w14:paraId="5D65C2B1" w14:textId="77777777" w:rsidR="00A37447" w:rsidRDefault="00A37447">
            <w:pPr>
              <w:keepNext/>
              <w:spacing w:after="20"/>
              <w:jc w:val="right"/>
            </w:pPr>
            <w:r>
              <w:rPr>
                <w:sz w:val="16"/>
              </w:rPr>
              <w:t>-3,3 %</w:t>
            </w:r>
          </w:p>
        </w:tc>
      </w:tr>
      <w:tr w:rsidR="00855697" w14:paraId="4341591B" w14:textId="77777777">
        <w:trPr>
          <w:cantSplit/>
        </w:trPr>
        <w:tc>
          <w:tcPr>
            <w:tcW w:w="1063" w:type="dxa"/>
          </w:tcPr>
          <w:p w14:paraId="07ECB8A5" w14:textId="77777777" w:rsidR="00A37447" w:rsidRDefault="00A37447">
            <w:pPr>
              <w:keepNext/>
              <w:spacing w:after="20"/>
            </w:pPr>
            <w:r>
              <w:rPr>
                <w:sz w:val="17"/>
              </w:rPr>
              <w:t>Cat. GNV</w:t>
            </w:r>
          </w:p>
        </w:tc>
        <w:tc>
          <w:tcPr>
            <w:tcW w:w="1063" w:type="dxa"/>
            <w:noWrap/>
          </w:tcPr>
          <w:p w14:paraId="1F744678" w14:textId="77777777" w:rsidR="00A37447" w:rsidRDefault="00A37447">
            <w:pPr>
              <w:keepNext/>
              <w:spacing w:after="20"/>
              <w:jc w:val="right"/>
            </w:pPr>
            <w:r>
              <w:rPr>
                <w:sz w:val="16"/>
              </w:rPr>
              <w:t>8,7</w:t>
            </w:r>
          </w:p>
        </w:tc>
        <w:tc>
          <w:tcPr>
            <w:tcW w:w="1063" w:type="dxa"/>
            <w:noWrap/>
          </w:tcPr>
          <w:p w14:paraId="4AC029BB" w14:textId="77777777" w:rsidR="00A37447" w:rsidRDefault="00A37447">
            <w:pPr>
              <w:keepNext/>
              <w:spacing w:after="20"/>
              <w:jc w:val="right"/>
            </w:pPr>
            <w:r>
              <w:rPr>
                <w:sz w:val="16"/>
              </w:rPr>
              <w:t>7,8</w:t>
            </w:r>
          </w:p>
        </w:tc>
        <w:tc>
          <w:tcPr>
            <w:tcW w:w="1063" w:type="dxa"/>
            <w:noWrap/>
          </w:tcPr>
          <w:p w14:paraId="490DD75B" w14:textId="77777777" w:rsidR="00A37447" w:rsidRDefault="00A37447">
            <w:pPr>
              <w:keepNext/>
              <w:spacing w:after="20"/>
              <w:jc w:val="right"/>
            </w:pPr>
            <w:r>
              <w:rPr>
                <w:sz w:val="16"/>
              </w:rPr>
              <w:t>8,4</w:t>
            </w:r>
          </w:p>
        </w:tc>
        <w:tc>
          <w:tcPr>
            <w:tcW w:w="1063" w:type="dxa"/>
            <w:noWrap/>
          </w:tcPr>
          <w:p w14:paraId="330B9188" w14:textId="77777777" w:rsidR="00A37447" w:rsidRDefault="00A37447">
            <w:pPr>
              <w:keepNext/>
              <w:spacing w:after="20"/>
              <w:jc w:val="right"/>
            </w:pPr>
            <w:r>
              <w:rPr>
                <w:sz w:val="16"/>
              </w:rPr>
              <w:t>7,8</w:t>
            </w:r>
          </w:p>
        </w:tc>
        <w:tc>
          <w:tcPr>
            <w:tcW w:w="1063" w:type="dxa"/>
            <w:noWrap/>
          </w:tcPr>
          <w:p w14:paraId="5DDACF38" w14:textId="77777777" w:rsidR="00A37447" w:rsidRDefault="00A37447">
            <w:pPr>
              <w:keepNext/>
              <w:spacing w:after="20"/>
              <w:jc w:val="right"/>
            </w:pPr>
            <w:r>
              <w:rPr>
                <w:sz w:val="16"/>
              </w:rPr>
              <w:t>7,6</w:t>
            </w:r>
          </w:p>
        </w:tc>
        <w:tc>
          <w:tcPr>
            <w:tcW w:w="1063" w:type="dxa"/>
            <w:noWrap/>
          </w:tcPr>
          <w:p w14:paraId="2E4C75C1" w14:textId="77777777" w:rsidR="00A37447" w:rsidRDefault="00A37447">
            <w:pPr>
              <w:keepNext/>
              <w:spacing w:after="20"/>
              <w:jc w:val="right"/>
            </w:pPr>
            <w:r>
              <w:rPr>
                <w:sz w:val="16"/>
              </w:rPr>
              <w:t>-2,5 %</w:t>
            </w:r>
          </w:p>
        </w:tc>
        <w:tc>
          <w:tcPr>
            <w:tcW w:w="1063" w:type="dxa"/>
            <w:noWrap/>
          </w:tcPr>
          <w:p w14:paraId="464E41DB" w14:textId="77777777" w:rsidR="00A37447" w:rsidRDefault="00A37447">
            <w:pPr>
              <w:keepNext/>
              <w:spacing w:after="20"/>
              <w:jc w:val="right"/>
            </w:pPr>
            <w:r>
              <w:rPr>
                <w:sz w:val="16"/>
              </w:rPr>
              <w:t>-3,4 %</w:t>
            </w:r>
          </w:p>
        </w:tc>
      </w:tr>
      <w:tr w:rsidR="00855697" w14:paraId="30960B3C" w14:textId="77777777">
        <w:trPr>
          <w:cantSplit/>
        </w:trPr>
        <w:tc>
          <w:tcPr>
            <w:tcW w:w="1063" w:type="dxa"/>
          </w:tcPr>
          <w:p w14:paraId="3D0445E3" w14:textId="77777777" w:rsidR="00A37447" w:rsidRDefault="00A37447">
            <w:pPr>
              <w:keepNext/>
              <w:spacing w:after="20"/>
            </w:pPr>
            <w:r>
              <w:rPr>
                <w:sz w:val="17"/>
              </w:rPr>
              <w:t>Cat. P</w:t>
            </w:r>
          </w:p>
        </w:tc>
        <w:tc>
          <w:tcPr>
            <w:tcW w:w="1063" w:type="dxa"/>
            <w:noWrap/>
          </w:tcPr>
          <w:p w14:paraId="67F9F093" w14:textId="77777777" w:rsidR="00A37447" w:rsidRDefault="00A37447">
            <w:pPr>
              <w:keepNext/>
              <w:spacing w:after="20"/>
              <w:jc w:val="right"/>
            </w:pPr>
            <w:r>
              <w:rPr>
                <w:sz w:val="16"/>
              </w:rPr>
              <w:t>8,1</w:t>
            </w:r>
          </w:p>
        </w:tc>
        <w:tc>
          <w:tcPr>
            <w:tcW w:w="1063" w:type="dxa"/>
            <w:noWrap/>
          </w:tcPr>
          <w:p w14:paraId="7A8F32CE" w14:textId="77777777" w:rsidR="00A37447" w:rsidRDefault="00A37447">
            <w:pPr>
              <w:keepNext/>
              <w:spacing w:after="20"/>
              <w:jc w:val="right"/>
            </w:pPr>
            <w:r>
              <w:rPr>
                <w:sz w:val="16"/>
              </w:rPr>
              <w:t>7,1</w:t>
            </w:r>
          </w:p>
        </w:tc>
        <w:tc>
          <w:tcPr>
            <w:tcW w:w="1063" w:type="dxa"/>
            <w:noWrap/>
          </w:tcPr>
          <w:p w14:paraId="629D0F41" w14:textId="77777777" w:rsidR="00A37447" w:rsidRDefault="00A37447">
            <w:pPr>
              <w:keepNext/>
              <w:spacing w:after="20"/>
              <w:jc w:val="right"/>
            </w:pPr>
            <w:r>
              <w:rPr>
                <w:sz w:val="16"/>
              </w:rPr>
              <w:t>7,8</w:t>
            </w:r>
          </w:p>
        </w:tc>
        <w:tc>
          <w:tcPr>
            <w:tcW w:w="1063" w:type="dxa"/>
            <w:noWrap/>
          </w:tcPr>
          <w:p w14:paraId="3E5F2BB9" w14:textId="77777777" w:rsidR="00A37447" w:rsidRDefault="00A37447">
            <w:pPr>
              <w:keepNext/>
              <w:spacing w:after="20"/>
              <w:jc w:val="right"/>
            </w:pPr>
            <w:r>
              <w:rPr>
                <w:sz w:val="16"/>
              </w:rPr>
              <w:t>7,2</w:t>
            </w:r>
          </w:p>
        </w:tc>
        <w:tc>
          <w:tcPr>
            <w:tcW w:w="1063" w:type="dxa"/>
            <w:noWrap/>
          </w:tcPr>
          <w:p w14:paraId="641D1C64" w14:textId="77777777" w:rsidR="00A37447" w:rsidRDefault="00A37447">
            <w:pPr>
              <w:keepNext/>
              <w:spacing w:after="20"/>
              <w:jc w:val="right"/>
            </w:pPr>
            <w:r>
              <w:rPr>
                <w:sz w:val="16"/>
              </w:rPr>
              <w:t>7,0</w:t>
            </w:r>
          </w:p>
        </w:tc>
        <w:tc>
          <w:tcPr>
            <w:tcW w:w="1063" w:type="dxa"/>
            <w:noWrap/>
          </w:tcPr>
          <w:p w14:paraId="4BD70D68" w14:textId="77777777" w:rsidR="00A37447" w:rsidRDefault="00A37447">
            <w:pPr>
              <w:keepNext/>
              <w:spacing w:after="20"/>
              <w:jc w:val="right"/>
            </w:pPr>
            <w:r>
              <w:rPr>
                <w:sz w:val="16"/>
              </w:rPr>
              <w:t>-2,6 %</w:t>
            </w:r>
          </w:p>
        </w:tc>
        <w:tc>
          <w:tcPr>
            <w:tcW w:w="1063" w:type="dxa"/>
            <w:noWrap/>
          </w:tcPr>
          <w:p w14:paraId="142A29E6" w14:textId="77777777" w:rsidR="00A37447" w:rsidRDefault="00A37447">
            <w:pPr>
              <w:keepNext/>
              <w:spacing w:after="20"/>
              <w:jc w:val="right"/>
            </w:pPr>
            <w:r>
              <w:rPr>
                <w:sz w:val="16"/>
              </w:rPr>
              <w:t>-3,6 %</w:t>
            </w:r>
          </w:p>
        </w:tc>
      </w:tr>
      <w:tr w:rsidR="00855697" w14:paraId="084DCA29" w14:textId="77777777">
        <w:trPr>
          <w:cantSplit/>
        </w:trPr>
        <w:tc>
          <w:tcPr>
            <w:tcW w:w="1063" w:type="dxa"/>
          </w:tcPr>
          <w:p w14:paraId="0739DCDC" w14:textId="77777777" w:rsidR="00A37447" w:rsidRDefault="00A37447">
            <w:pPr>
              <w:keepNext/>
              <w:spacing w:after="20"/>
            </w:pPr>
            <w:r>
              <w:rPr>
                <w:sz w:val="17"/>
              </w:rPr>
              <w:t>Cat. REF</w:t>
            </w:r>
          </w:p>
        </w:tc>
        <w:tc>
          <w:tcPr>
            <w:tcW w:w="1063" w:type="dxa"/>
            <w:noWrap/>
          </w:tcPr>
          <w:p w14:paraId="51DA9227" w14:textId="77777777" w:rsidR="00A37447" w:rsidRDefault="00A37447">
            <w:pPr>
              <w:keepNext/>
              <w:spacing w:after="20"/>
              <w:jc w:val="right"/>
            </w:pPr>
            <w:r>
              <w:rPr>
                <w:sz w:val="16"/>
              </w:rPr>
              <w:t>7,4</w:t>
            </w:r>
          </w:p>
        </w:tc>
        <w:tc>
          <w:tcPr>
            <w:tcW w:w="1063" w:type="dxa"/>
            <w:noWrap/>
          </w:tcPr>
          <w:p w14:paraId="4925BEC7" w14:textId="77777777" w:rsidR="00A37447" w:rsidRDefault="00A37447">
            <w:pPr>
              <w:keepNext/>
              <w:spacing w:after="20"/>
              <w:jc w:val="right"/>
            </w:pPr>
            <w:r>
              <w:rPr>
                <w:sz w:val="16"/>
              </w:rPr>
              <w:t>6,3</w:t>
            </w:r>
          </w:p>
        </w:tc>
        <w:tc>
          <w:tcPr>
            <w:tcW w:w="1063" w:type="dxa"/>
            <w:noWrap/>
          </w:tcPr>
          <w:p w14:paraId="4814C59D" w14:textId="77777777" w:rsidR="00A37447" w:rsidRDefault="00A37447">
            <w:pPr>
              <w:keepNext/>
              <w:spacing w:after="20"/>
              <w:jc w:val="right"/>
            </w:pPr>
            <w:r>
              <w:rPr>
                <w:sz w:val="16"/>
              </w:rPr>
              <w:t>7,2</w:t>
            </w:r>
          </w:p>
        </w:tc>
        <w:tc>
          <w:tcPr>
            <w:tcW w:w="1063" w:type="dxa"/>
            <w:noWrap/>
          </w:tcPr>
          <w:p w14:paraId="5FEDF266" w14:textId="77777777" w:rsidR="00A37447" w:rsidRDefault="00A37447">
            <w:pPr>
              <w:keepNext/>
              <w:spacing w:after="20"/>
              <w:jc w:val="right"/>
            </w:pPr>
            <w:r>
              <w:rPr>
                <w:sz w:val="16"/>
              </w:rPr>
              <w:t>6,6</w:t>
            </w:r>
          </w:p>
        </w:tc>
        <w:tc>
          <w:tcPr>
            <w:tcW w:w="1063" w:type="dxa"/>
            <w:noWrap/>
          </w:tcPr>
          <w:p w14:paraId="46790F24" w14:textId="77777777" w:rsidR="00A37447" w:rsidRDefault="00A37447">
            <w:pPr>
              <w:keepNext/>
              <w:spacing w:after="20"/>
              <w:jc w:val="right"/>
            </w:pPr>
            <w:r>
              <w:rPr>
                <w:sz w:val="16"/>
              </w:rPr>
              <w:t>6,5</w:t>
            </w:r>
          </w:p>
        </w:tc>
        <w:tc>
          <w:tcPr>
            <w:tcW w:w="1063" w:type="dxa"/>
            <w:noWrap/>
          </w:tcPr>
          <w:p w14:paraId="2D46BAFC" w14:textId="77777777" w:rsidR="00A37447" w:rsidRDefault="00A37447">
            <w:pPr>
              <w:keepNext/>
              <w:spacing w:after="20"/>
              <w:jc w:val="right"/>
            </w:pPr>
            <w:r>
              <w:rPr>
                <w:sz w:val="16"/>
              </w:rPr>
              <w:t>-2,7 %</w:t>
            </w:r>
          </w:p>
        </w:tc>
        <w:tc>
          <w:tcPr>
            <w:tcW w:w="1063" w:type="dxa"/>
            <w:noWrap/>
          </w:tcPr>
          <w:p w14:paraId="0D802666" w14:textId="77777777" w:rsidR="00A37447" w:rsidRDefault="00A37447">
            <w:pPr>
              <w:keepNext/>
              <w:spacing w:after="20"/>
              <w:jc w:val="right"/>
            </w:pPr>
            <w:r>
              <w:rPr>
                <w:sz w:val="16"/>
              </w:rPr>
              <w:t>-3,4 %</w:t>
            </w:r>
          </w:p>
        </w:tc>
      </w:tr>
    </w:tbl>
    <w:p w14:paraId="2B5135BA" w14:textId="77777777" w:rsidR="00A37447" w:rsidRPr="0036111A" w:rsidRDefault="00A37447">
      <w:pPr>
        <w:keepLines/>
        <w:spacing w:before="40"/>
        <w:jc w:val="right"/>
        <w:rPr>
          <w:lang w:val="es-PE"/>
        </w:rPr>
      </w:pPr>
      <w:r w:rsidRPr="0036111A">
        <w:rPr>
          <w:b/>
          <w:color w:val="404040"/>
          <w:sz w:val="15"/>
          <w:lang w:val="es-PE"/>
        </w:rPr>
        <w:t>FUENTE: Osinergmin, empresas del sector, APOYO Consultoría</w:t>
      </w:r>
    </w:p>
    <w:p w14:paraId="6586E833" w14:textId="6B34329A" w:rsidR="00A37447" w:rsidRDefault="00A37447">
      <w:pPr>
        <w:spacing w:before="160"/>
        <w:jc w:val="center"/>
      </w:pPr>
      <w:r>
        <w:rPr>
          <w:noProof/>
        </w:rPr>
        <w:drawing>
          <wp:inline distT="0" distB="0" distL="0" distR="0" wp14:anchorId="21D84DCB" wp14:editId="022D2138">
            <wp:extent cx="5400000" cy="3708387"/>
            <wp:effectExtent l="0" t="0" r="0" b="0"/>
            <wp:docPr id="2110891818" name="Imagen 211089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68.png"/>
                    <pic:cNvPicPr/>
                  </pic:nvPicPr>
                  <pic:blipFill>
                    <a:blip r:embed="rId81"/>
                    <a:stretch>
                      <a:fillRect/>
                    </a:stretch>
                  </pic:blipFill>
                  <pic:spPr>
                    <a:xfrm>
                      <a:off x="0" y="0"/>
                      <a:ext cx="5400000" cy="3708387"/>
                    </a:xfrm>
                    <a:prstGeom prst="rect">
                      <a:avLst/>
                    </a:prstGeom>
                  </pic:spPr>
                </pic:pic>
              </a:graphicData>
            </a:graphic>
          </wp:inline>
        </w:drawing>
      </w:r>
    </w:p>
    <w:p w14:paraId="0386DF3F" w14:textId="77777777" w:rsidR="00A37447" w:rsidRPr="0036111A" w:rsidRDefault="00A37447">
      <w:pPr>
        <w:pStyle w:val="Ttulo4"/>
        <w:pageBreakBefore/>
        <w:rPr>
          <w:lang w:val="es-PE"/>
        </w:rPr>
      </w:pPr>
      <w:bookmarkStart w:id="28" w:name="_Toc235083038"/>
      <w:r w:rsidRPr="0036111A">
        <w:rPr>
          <w:lang w:val="es-PE"/>
        </w:rPr>
        <w:lastRenderedPageBreak/>
        <w:t>3.2.8.5. Petroperú</w:t>
      </w:r>
      <w:bookmarkEnd w:id="28"/>
    </w:p>
    <w:p w14:paraId="682F2AE2" w14:textId="5B62B410" w:rsidR="00A37447" w:rsidRPr="0036111A" w:rsidRDefault="00A37447">
      <w:pPr>
        <w:keepLines/>
        <w:spacing w:after="120"/>
        <w:rPr>
          <w:lang w:val="es-PE"/>
        </w:rPr>
      </w:pPr>
      <w:r w:rsidRPr="0036111A">
        <w:rPr>
          <w:lang w:val="es-PE"/>
        </w:rPr>
        <w:t>Petroperú, en la Concesión Sur Oeste, mantuvo las tarifas más altas del sistema</w:t>
      </w:r>
      <w:r w:rsidR="00AF00AE">
        <w:rPr>
          <w:lang w:val="es-PE"/>
        </w:rPr>
        <w:t>. L</w:t>
      </w:r>
      <w:r w:rsidRPr="0036111A">
        <w:rPr>
          <w:lang w:val="es-PE"/>
        </w:rPr>
        <w:t>a residencial superó los US$ 23 por MMBTU en 2025.</w:t>
      </w:r>
      <w:r w:rsidR="00AF00AE">
        <w:rPr>
          <w:lang w:val="es-PE"/>
        </w:rPr>
        <w:t xml:space="preserve"> No obstante, se mantienen por debajo de los picos de 2023 en todos los segmentos.</w:t>
      </w:r>
    </w:p>
    <w:p w14:paraId="748D0660" w14:textId="77777777" w:rsidR="00A37447" w:rsidRPr="0036111A" w:rsidRDefault="00A37447">
      <w:pPr>
        <w:keepNext/>
        <w:keepLines/>
        <w:spacing w:before="160" w:after="20"/>
        <w:rPr>
          <w:lang w:val="es-PE"/>
        </w:rPr>
      </w:pPr>
      <w:r w:rsidRPr="0036111A">
        <w:rPr>
          <w:b/>
          <w:color w:val="00838F"/>
          <w:sz w:val="20"/>
          <w:lang w:val="es-PE"/>
        </w:rPr>
        <w:t>PETROPERÚ: TARIFA COBRADA AL USUARIO FINAL</w:t>
      </w:r>
    </w:p>
    <w:p w14:paraId="613A8EC1" w14:textId="77777777" w:rsidR="00A37447" w:rsidRPr="0036111A" w:rsidRDefault="00A37447">
      <w:pPr>
        <w:keepNext/>
        <w:keepLines/>
        <w:spacing w:after="60"/>
        <w:rPr>
          <w:lang w:val="es-PE"/>
        </w:rPr>
      </w:pPr>
      <w:r w:rsidRPr="0036111A">
        <w:rPr>
          <w:i/>
          <w:sz w:val="17"/>
          <w:lang w:val="es-PE"/>
        </w:rPr>
        <w:t>US$ por millón de BTU; tarifas a diciembre de cada año</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064"/>
        <w:gridCol w:w="1064"/>
        <w:gridCol w:w="1063"/>
        <w:gridCol w:w="1063"/>
        <w:gridCol w:w="1063"/>
        <w:gridCol w:w="1063"/>
        <w:gridCol w:w="1063"/>
        <w:gridCol w:w="1063"/>
      </w:tblGrid>
      <w:tr w:rsidR="00855697" w14:paraId="151948B5" w14:textId="77777777">
        <w:trPr>
          <w:cantSplit/>
          <w:tblHeader/>
        </w:trPr>
        <w:tc>
          <w:tcPr>
            <w:tcW w:w="1063" w:type="dxa"/>
            <w:shd w:val="clear" w:color="auto" w:fill="1F3864"/>
          </w:tcPr>
          <w:p w14:paraId="1E8361F3" w14:textId="77777777" w:rsidR="00A37447" w:rsidRDefault="00A37447">
            <w:pPr>
              <w:keepNext/>
            </w:pPr>
            <w:r>
              <w:rPr>
                <w:b/>
                <w:color w:val="FFFFFF"/>
                <w:sz w:val="17"/>
              </w:rPr>
              <w:t>Categoría</w:t>
            </w:r>
          </w:p>
        </w:tc>
        <w:tc>
          <w:tcPr>
            <w:tcW w:w="1063" w:type="dxa"/>
            <w:shd w:val="clear" w:color="auto" w:fill="1F3864"/>
            <w:noWrap/>
          </w:tcPr>
          <w:p w14:paraId="315166F8" w14:textId="77777777" w:rsidR="00A37447" w:rsidRDefault="00A37447">
            <w:pPr>
              <w:keepNext/>
              <w:jc w:val="right"/>
            </w:pPr>
            <w:r>
              <w:rPr>
                <w:b/>
                <w:color w:val="FFFFFF"/>
                <w:sz w:val="17"/>
              </w:rPr>
              <w:t>2021</w:t>
            </w:r>
          </w:p>
        </w:tc>
        <w:tc>
          <w:tcPr>
            <w:tcW w:w="1063" w:type="dxa"/>
            <w:shd w:val="clear" w:color="auto" w:fill="1F3864"/>
            <w:noWrap/>
          </w:tcPr>
          <w:p w14:paraId="1AE7FAB5" w14:textId="77777777" w:rsidR="00A37447" w:rsidRDefault="00A37447">
            <w:pPr>
              <w:keepNext/>
              <w:jc w:val="right"/>
            </w:pPr>
            <w:r>
              <w:rPr>
                <w:b/>
                <w:color w:val="FFFFFF"/>
                <w:sz w:val="17"/>
              </w:rPr>
              <w:t>2022</w:t>
            </w:r>
          </w:p>
        </w:tc>
        <w:tc>
          <w:tcPr>
            <w:tcW w:w="1063" w:type="dxa"/>
            <w:shd w:val="clear" w:color="auto" w:fill="1F3864"/>
            <w:noWrap/>
          </w:tcPr>
          <w:p w14:paraId="5089B796" w14:textId="77777777" w:rsidR="00A37447" w:rsidRDefault="00A37447">
            <w:pPr>
              <w:keepNext/>
              <w:jc w:val="right"/>
            </w:pPr>
            <w:r>
              <w:rPr>
                <w:b/>
                <w:color w:val="FFFFFF"/>
                <w:sz w:val="17"/>
              </w:rPr>
              <w:t>2023</w:t>
            </w:r>
          </w:p>
        </w:tc>
        <w:tc>
          <w:tcPr>
            <w:tcW w:w="1063" w:type="dxa"/>
            <w:shd w:val="clear" w:color="auto" w:fill="1F3864"/>
            <w:noWrap/>
          </w:tcPr>
          <w:p w14:paraId="4E54DA6C" w14:textId="77777777" w:rsidR="00A37447" w:rsidRDefault="00A37447">
            <w:pPr>
              <w:keepNext/>
              <w:jc w:val="right"/>
            </w:pPr>
            <w:r>
              <w:rPr>
                <w:b/>
                <w:color w:val="FFFFFF"/>
                <w:sz w:val="17"/>
              </w:rPr>
              <w:t>2024</w:t>
            </w:r>
          </w:p>
        </w:tc>
        <w:tc>
          <w:tcPr>
            <w:tcW w:w="1063" w:type="dxa"/>
            <w:shd w:val="clear" w:color="auto" w:fill="1F3864"/>
            <w:noWrap/>
          </w:tcPr>
          <w:p w14:paraId="284C2E6A" w14:textId="77777777" w:rsidR="00A37447" w:rsidRDefault="00A37447">
            <w:pPr>
              <w:keepNext/>
              <w:jc w:val="right"/>
            </w:pPr>
            <w:r>
              <w:rPr>
                <w:b/>
                <w:color w:val="FFFFFF"/>
                <w:sz w:val="17"/>
              </w:rPr>
              <w:t>2025</w:t>
            </w:r>
          </w:p>
        </w:tc>
        <w:tc>
          <w:tcPr>
            <w:tcW w:w="1063" w:type="dxa"/>
            <w:shd w:val="clear" w:color="auto" w:fill="1F3864"/>
          </w:tcPr>
          <w:p w14:paraId="0D9D4F6F" w14:textId="77777777" w:rsidR="00A37447" w:rsidRDefault="00A37447">
            <w:pPr>
              <w:keepNext/>
              <w:jc w:val="right"/>
            </w:pPr>
            <w:r>
              <w:rPr>
                <w:b/>
                <w:color w:val="FFFFFF"/>
                <w:sz w:val="17"/>
              </w:rPr>
              <w:t>Var. % 2025 vs 2024</w:t>
            </w:r>
          </w:p>
        </w:tc>
        <w:tc>
          <w:tcPr>
            <w:tcW w:w="1063" w:type="dxa"/>
            <w:shd w:val="clear" w:color="auto" w:fill="1F3864"/>
          </w:tcPr>
          <w:p w14:paraId="66FD0E45" w14:textId="77777777" w:rsidR="00A37447" w:rsidRDefault="00A37447">
            <w:pPr>
              <w:keepNext/>
              <w:jc w:val="right"/>
            </w:pPr>
            <w:r>
              <w:rPr>
                <w:b/>
                <w:color w:val="FFFFFF"/>
                <w:sz w:val="17"/>
              </w:rPr>
              <w:t>TACC 2021-2025</w:t>
            </w:r>
          </w:p>
        </w:tc>
      </w:tr>
      <w:tr w:rsidR="00855697" w14:paraId="3C22DF5E" w14:textId="77777777">
        <w:trPr>
          <w:cantSplit/>
        </w:trPr>
        <w:tc>
          <w:tcPr>
            <w:tcW w:w="1063" w:type="dxa"/>
          </w:tcPr>
          <w:p w14:paraId="060700DA" w14:textId="77777777" w:rsidR="00A37447" w:rsidRDefault="00A37447">
            <w:pPr>
              <w:keepNext/>
              <w:spacing w:after="20"/>
            </w:pPr>
            <w:r>
              <w:rPr>
                <w:sz w:val="17"/>
              </w:rPr>
              <w:t>Cat. A - Residencial</w:t>
            </w:r>
          </w:p>
        </w:tc>
        <w:tc>
          <w:tcPr>
            <w:tcW w:w="1063" w:type="dxa"/>
            <w:noWrap/>
          </w:tcPr>
          <w:p w14:paraId="55B86E68" w14:textId="77777777" w:rsidR="00A37447" w:rsidRDefault="00A37447">
            <w:pPr>
              <w:keepNext/>
              <w:spacing w:after="20"/>
              <w:jc w:val="right"/>
            </w:pPr>
            <w:r>
              <w:rPr>
                <w:sz w:val="16"/>
              </w:rPr>
              <w:t>19,4</w:t>
            </w:r>
          </w:p>
        </w:tc>
        <w:tc>
          <w:tcPr>
            <w:tcW w:w="1063" w:type="dxa"/>
            <w:noWrap/>
          </w:tcPr>
          <w:p w14:paraId="1F706300" w14:textId="77777777" w:rsidR="00A37447" w:rsidRDefault="00A37447">
            <w:pPr>
              <w:keepNext/>
              <w:spacing w:after="20"/>
              <w:jc w:val="right"/>
            </w:pPr>
            <w:r>
              <w:rPr>
                <w:sz w:val="16"/>
              </w:rPr>
              <w:t>22,6</w:t>
            </w:r>
          </w:p>
        </w:tc>
        <w:tc>
          <w:tcPr>
            <w:tcW w:w="1063" w:type="dxa"/>
            <w:noWrap/>
          </w:tcPr>
          <w:p w14:paraId="3592BAF6" w14:textId="77777777" w:rsidR="00A37447" w:rsidRDefault="00A37447">
            <w:pPr>
              <w:keepNext/>
              <w:spacing w:after="20"/>
              <w:jc w:val="right"/>
            </w:pPr>
            <w:r>
              <w:rPr>
                <w:sz w:val="16"/>
              </w:rPr>
              <w:t>24,2</w:t>
            </w:r>
          </w:p>
        </w:tc>
        <w:tc>
          <w:tcPr>
            <w:tcW w:w="1063" w:type="dxa"/>
            <w:noWrap/>
          </w:tcPr>
          <w:p w14:paraId="591B3F8A" w14:textId="77777777" w:rsidR="00A37447" w:rsidRDefault="00A37447">
            <w:pPr>
              <w:keepNext/>
              <w:spacing w:after="20"/>
              <w:jc w:val="right"/>
            </w:pPr>
            <w:r>
              <w:rPr>
                <w:sz w:val="16"/>
              </w:rPr>
              <w:t>23,4</w:t>
            </w:r>
          </w:p>
        </w:tc>
        <w:tc>
          <w:tcPr>
            <w:tcW w:w="1063" w:type="dxa"/>
            <w:noWrap/>
          </w:tcPr>
          <w:p w14:paraId="0561789D" w14:textId="77777777" w:rsidR="00A37447" w:rsidRDefault="00A37447">
            <w:pPr>
              <w:keepNext/>
              <w:spacing w:after="20"/>
              <w:jc w:val="right"/>
            </w:pPr>
            <w:r>
              <w:rPr>
                <w:sz w:val="16"/>
              </w:rPr>
              <w:t>23,7</w:t>
            </w:r>
          </w:p>
        </w:tc>
        <w:tc>
          <w:tcPr>
            <w:tcW w:w="1063" w:type="dxa"/>
            <w:noWrap/>
          </w:tcPr>
          <w:p w14:paraId="075CCC98" w14:textId="77777777" w:rsidR="00A37447" w:rsidRDefault="00A37447">
            <w:pPr>
              <w:keepNext/>
              <w:spacing w:after="20"/>
              <w:jc w:val="right"/>
            </w:pPr>
            <w:r>
              <w:rPr>
                <w:sz w:val="16"/>
              </w:rPr>
              <w:t>1,3 %</w:t>
            </w:r>
          </w:p>
        </w:tc>
        <w:tc>
          <w:tcPr>
            <w:tcW w:w="1063" w:type="dxa"/>
            <w:noWrap/>
          </w:tcPr>
          <w:p w14:paraId="0E21A77B" w14:textId="77777777" w:rsidR="00A37447" w:rsidRDefault="00A37447">
            <w:pPr>
              <w:keepNext/>
              <w:spacing w:after="20"/>
              <w:jc w:val="right"/>
            </w:pPr>
            <w:r>
              <w:rPr>
                <w:sz w:val="16"/>
              </w:rPr>
              <w:t>5,2 %</w:t>
            </w:r>
          </w:p>
        </w:tc>
      </w:tr>
      <w:tr w:rsidR="00855697" w14:paraId="0F12F160" w14:textId="77777777">
        <w:trPr>
          <w:cantSplit/>
        </w:trPr>
        <w:tc>
          <w:tcPr>
            <w:tcW w:w="1063" w:type="dxa"/>
          </w:tcPr>
          <w:p w14:paraId="20DFF024" w14:textId="77777777" w:rsidR="00A37447" w:rsidRDefault="00A37447">
            <w:pPr>
              <w:keepNext/>
              <w:spacing w:after="20"/>
            </w:pPr>
            <w:r>
              <w:rPr>
                <w:sz w:val="17"/>
              </w:rPr>
              <w:t>Cat. B - Comercial</w:t>
            </w:r>
          </w:p>
        </w:tc>
        <w:tc>
          <w:tcPr>
            <w:tcW w:w="1063" w:type="dxa"/>
            <w:noWrap/>
          </w:tcPr>
          <w:p w14:paraId="4A0C6A7F" w14:textId="77777777" w:rsidR="00A37447" w:rsidRDefault="00A37447">
            <w:pPr>
              <w:keepNext/>
              <w:spacing w:after="20"/>
              <w:jc w:val="right"/>
            </w:pPr>
            <w:r>
              <w:rPr>
                <w:sz w:val="16"/>
              </w:rPr>
              <w:t>17,0</w:t>
            </w:r>
          </w:p>
        </w:tc>
        <w:tc>
          <w:tcPr>
            <w:tcW w:w="1063" w:type="dxa"/>
            <w:noWrap/>
          </w:tcPr>
          <w:p w14:paraId="595E66AC" w14:textId="77777777" w:rsidR="00A37447" w:rsidRDefault="00A37447">
            <w:pPr>
              <w:keepNext/>
              <w:spacing w:after="20"/>
              <w:jc w:val="right"/>
            </w:pPr>
            <w:r>
              <w:rPr>
                <w:sz w:val="16"/>
              </w:rPr>
              <w:t>19,7</w:t>
            </w:r>
          </w:p>
        </w:tc>
        <w:tc>
          <w:tcPr>
            <w:tcW w:w="1063" w:type="dxa"/>
            <w:noWrap/>
          </w:tcPr>
          <w:p w14:paraId="1595BAD7" w14:textId="77777777" w:rsidR="00A37447" w:rsidRDefault="00A37447">
            <w:pPr>
              <w:keepNext/>
              <w:spacing w:after="20"/>
              <w:jc w:val="right"/>
            </w:pPr>
            <w:r>
              <w:rPr>
                <w:sz w:val="16"/>
              </w:rPr>
              <w:t>21,1</w:t>
            </w:r>
          </w:p>
        </w:tc>
        <w:tc>
          <w:tcPr>
            <w:tcW w:w="1063" w:type="dxa"/>
            <w:noWrap/>
          </w:tcPr>
          <w:p w14:paraId="2C2D823A" w14:textId="77777777" w:rsidR="00A37447" w:rsidRDefault="00A37447">
            <w:pPr>
              <w:keepNext/>
              <w:spacing w:after="20"/>
              <w:jc w:val="right"/>
            </w:pPr>
            <w:r>
              <w:rPr>
                <w:sz w:val="16"/>
              </w:rPr>
              <w:t>20,5</w:t>
            </w:r>
          </w:p>
        </w:tc>
        <w:tc>
          <w:tcPr>
            <w:tcW w:w="1063" w:type="dxa"/>
            <w:noWrap/>
          </w:tcPr>
          <w:p w14:paraId="68E9C6C8" w14:textId="77777777" w:rsidR="00A37447" w:rsidRDefault="00A37447">
            <w:pPr>
              <w:keepNext/>
              <w:spacing w:after="20"/>
              <w:jc w:val="right"/>
            </w:pPr>
            <w:r>
              <w:rPr>
                <w:sz w:val="16"/>
              </w:rPr>
              <w:t>20,8</w:t>
            </w:r>
          </w:p>
        </w:tc>
        <w:tc>
          <w:tcPr>
            <w:tcW w:w="1063" w:type="dxa"/>
            <w:noWrap/>
          </w:tcPr>
          <w:p w14:paraId="6B7BCD15" w14:textId="77777777" w:rsidR="00A37447" w:rsidRDefault="00A37447">
            <w:pPr>
              <w:keepNext/>
              <w:spacing w:after="20"/>
              <w:jc w:val="right"/>
            </w:pPr>
            <w:r>
              <w:rPr>
                <w:sz w:val="16"/>
              </w:rPr>
              <w:t>1,3 %</w:t>
            </w:r>
          </w:p>
        </w:tc>
        <w:tc>
          <w:tcPr>
            <w:tcW w:w="1063" w:type="dxa"/>
            <w:noWrap/>
          </w:tcPr>
          <w:p w14:paraId="07778416" w14:textId="77777777" w:rsidR="00A37447" w:rsidRDefault="00A37447">
            <w:pPr>
              <w:keepNext/>
              <w:spacing w:after="20"/>
              <w:jc w:val="right"/>
            </w:pPr>
            <w:r>
              <w:rPr>
                <w:sz w:val="16"/>
              </w:rPr>
              <w:t>5,2 %</w:t>
            </w:r>
          </w:p>
        </w:tc>
      </w:tr>
      <w:tr w:rsidR="00855697" w14:paraId="270C18F6" w14:textId="77777777">
        <w:trPr>
          <w:cantSplit/>
        </w:trPr>
        <w:tc>
          <w:tcPr>
            <w:tcW w:w="1063" w:type="dxa"/>
          </w:tcPr>
          <w:p w14:paraId="64C297E3" w14:textId="77777777" w:rsidR="00A37447" w:rsidRDefault="00A37447">
            <w:pPr>
              <w:keepNext/>
              <w:spacing w:after="20"/>
            </w:pPr>
            <w:r>
              <w:rPr>
                <w:sz w:val="17"/>
              </w:rPr>
              <w:t>Cat. C - GNV</w:t>
            </w:r>
          </w:p>
        </w:tc>
        <w:tc>
          <w:tcPr>
            <w:tcW w:w="1063" w:type="dxa"/>
            <w:noWrap/>
          </w:tcPr>
          <w:p w14:paraId="1849B928" w14:textId="77777777" w:rsidR="00A37447" w:rsidRDefault="00A37447">
            <w:pPr>
              <w:keepNext/>
              <w:spacing w:after="20"/>
              <w:jc w:val="right"/>
            </w:pPr>
            <w:r>
              <w:rPr>
                <w:sz w:val="16"/>
              </w:rPr>
              <w:t>9,6</w:t>
            </w:r>
          </w:p>
        </w:tc>
        <w:tc>
          <w:tcPr>
            <w:tcW w:w="1063" w:type="dxa"/>
            <w:noWrap/>
          </w:tcPr>
          <w:p w14:paraId="5F50F744" w14:textId="77777777" w:rsidR="00A37447" w:rsidRDefault="00A37447">
            <w:pPr>
              <w:keepNext/>
              <w:spacing w:after="20"/>
              <w:jc w:val="right"/>
            </w:pPr>
            <w:r>
              <w:rPr>
                <w:sz w:val="16"/>
              </w:rPr>
              <w:t>10,7</w:t>
            </w:r>
          </w:p>
        </w:tc>
        <w:tc>
          <w:tcPr>
            <w:tcW w:w="1063" w:type="dxa"/>
            <w:noWrap/>
          </w:tcPr>
          <w:p w14:paraId="402ACD56" w14:textId="77777777" w:rsidR="00A37447" w:rsidRDefault="00A37447">
            <w:pPr>
              <w:keepNext/>
              <w:spacing w:after="20"/>
              <w:jc w:val="right"/>
            </w:pPr>
            <w:r>
              <w:rPr>
                <w:sz w:val="16"/>
              </w:rPr>
              <w:t>11,7</w:t>
            </w:r>
          </w:p>
        </w:tc>
        <w:tc>
          <w:tcPr>
            <w:tcW w:w="1063" w:type="dxa"/>
            <w:noWrap/>
          </w:tcPr>
          <w:p w14:paraId="451429B8" w14:textId="77777777" w:rsidR="00A37447" w:rsidRDefault="00A37447">
            <w:pPr>
              <w:keepNext/>
              <w:spacing w:after="20"/>
              <w:jc w:val="right"/>
            </w:pPr>
            <w:r>
              <w:rPr>
                <w:sz w:val="16"/>
              </w:rPr>
              <w:t>11,6</w:t>
            </w:r>
          </w:p>
        </w:tc>
        <w:tc>
          <w:tcPr>
            <w:tcW w:w="1063" w:type="dxa"/>
            <w:noWrap/>
          </w:tcPr>
          <w:p w14:paraId="31914AA4" w14:textId="77777777" w:rsidR="00A37447" w:rsidRDefault="00A37447">
            <w:pPr>
              <w:keepNext/>
              <w:spacing w:after="20"/>
              <w:jc w:val="right"/>
            </w:pPr>
            <w:r>
              <w:rPr>
                <w:sz w:val="16"/>
              </w:rPr>
              <w:t>11,7</w:t>
            </w:r>
          </w:p>
        </w:tc>
        <w:tc>
          <w:tcPr>
            <w:tcW w:w="1063" w:type="dxa"/>
            <w:noWrap/>
          </w:tcPr>
          <w:p w14:paraId="2DE94467" w14:textId="77777777" w:rsidR="00A37447" w:rsidRDefault="00A37447">
            <w:pPr>
              <w:keepNext/>
              <w:spacing w:after="20"/>
              <w:jc w:val="right"/>
            </w:pPr>
            <w:r>
              <w:rPr>
                <w:sz w:val="16"/>
              </w:rPr>
              <w:t>1,0 %</w:t>
            </w:r>
          </w:p>
        </w:tc>
        <w:tc>
          <w:tcPr>
            <w:tcW w:w="1063" w:type="dxa"/>
            <w:noWrap/>
          </w:tcPr>
          <w:p w14:paraId="68F2008D" w14:textId="77777777" w:rsidR="00A37447" w:rsidRDefault="00A37447">
            <w:pPr>
              <w:keepNext/>
              <w:spacing w:after="20"/>
              <w:jc w:val="right"/>
            </w:pPr>
            <w:r>
              <w:rPr>
                <w:sz w:val="16"/>
              </w:rPr>
              <w:t>5,1 %</w:t>
            </w:r>
          </w:p>
        </w:tc>
      </w:tr>
      <w:tr w:rsidR="00855697" w14:paraId="654D1D2D" w14:textId="77777777">
        <w:trPr>
          <w:cantSplit/>
        </w:trPr>
        <w:tc>
          <w:tcPr>
            <w:tcW w:w="1063" w:type="dxa"/>
          </w:tcPr>
          <w:p w14:paraId="162652E3" w14:textId="77777777" w:rsidR="00A37447" w:rsidRDefault="00A37447">
            <w:pPr>
              <w:keepNext/>
              <w:spacing w:after="20"/>
            </w:pPr>
            <w:r>
              <w:rPr>
                <w:sz w:val="17"/>
              </w:rPr>
              <w:t>Cat. D - Industrial</w:t>
            </w:r>
          </w:p>
        </w:tc>
        <w:tc>
          <w:tcPr>
            <w:tcW w:w="1063" w:type="dxa"/>
            <w:noWrap/>
          </w:tcPr>
          <w:p w14:paraId="574686CF" w14:textId="77777777" w:rsidR="00A37447" w:rsidRDefault="00A37447">
            <w:pPr>
              <w:keepNext/>
              <w:spacing w:after="20"/>
              <w:jc w:val="right"/>
            </w:pPr>
            <w:r>
              <w:rPr>
                <w:sz w:val="16"/>
              </w:rPr>
              <w:t>14,2</w:t>
            </w:r>
          </w:p>
        </w:tc>
        <w:tc>
          <w:tcPr>
            <w:tcW w:w="1063" w:type="dxa"/>
            <w:noWrap/>
          </w:tcPr>
          <w:p w14:paraId="47AEA3D1" w14:textId="77777777" w:rsidR="00A37447" w:rsidRDefault="00A37447">
            <w:pPr>
              <w:keepNext/>
              <w:spacing w:after="20"/>
              <w:jc w:val="right"/>
            </w:pPr>
            <w:r>
              <w:rPr>
                <w:sz w:val="16"/>
              </w:rPr>
              <w:t>16,4</w:t>
            </w:r>
          </w:p>
        </w:tc>
        <w:tc>
          <w:tcPr>
            <w:tcW w:w="1063" w:type="dxa"/>
            <w:noWrap/>
          </w:tcPr>
          <w:p w14:paraId="11CF62FE" w14:textId="77777777" w:rsidR="00A37447" w:rsidRDefault="00A37447">
            <w:pPr>
              <w:keepNext/>
              <w:spacing w:after="20"/>
              <w:jc w:val="right"/>
            </w:pPr>
            <w:r>
              <w:rPr>
                <w:sz w:val="16"/>
              </w:rPr>
              <w:t>17,6</w:t>
            </w:r>
          </w:p>
        </w:tc>
        <w:tc>
          <w:tcPr>
            <w:tcW w:w="1063" w:type="dxa"/>
            <w:noWrap/>
          </w:tcPr>
          <w:p w14:paraId="5C156A7C" w14:textId="77777777" w:rsidR="00A37447" w:rsidRDefault="00A37447">
            <w:pPr>
              <w:keepNext/>
              <w:spacing w:after="20"/>
              <w:jc w:val="right"/>
            </w:pPr>
            <w:r>
              <w:rPr>
                <w:sz w:val="16"/>
              </w:rPr>
              <w:t>17,3</w:t>
            </w:r>
          </w:p>
        </w:tc>
        <w:tc>
          <w:tcPr>
            <w:tcW w:w="1063" w:type="dxa"/>
            <w:noWrap/>
          </w:tcPr>
          <w:p w14:paraId="3CA30A70" w14:textId="77777777" w:rsidR="00A37447" w:rsidRDefault="00A37447">
            <w:pPr>
              <w:keepNext/>
              <w:spacing w:after="20"/>
              <w:jc w:val="right"/>
            </w:pPr>
            <w:r>
              <w:rPr>
                <w:sz w:val="16"/>
              </w:rPr>
              <w:t>17,5</w:t>
            </w:r>
          </w:p>
        </w:tc>
        <w:tc>
          <w:tcPr>
            <w:tcW w:w="1063" w:type="dxa"/>
            <w:noWrap/>
          </w:tcPr>
          <w:p w14:paraId="55D43A09" w14:textId="77777777" w:rsidR="00A37447" w:rsidRDefault="00A37447">
            <w:pPr>
              <w:keepNext/>
              <w:spacing w:after="20"/>
              <w:jc w:val="right"/>
            </w:pPr>
            <w:r>
              <w:rPr>
                <w:sz w:val="16"/>
              </w:rPr>
              <w:t>1,2 %</w:t>
            </w:r>
          </w:p>
        </w:tc>
        <w:tc>
          <w:tcPr>
            <w:tcW w:w="1063" w:type="dxa"/>
            <w:noWrap/>
          </w:tcPr>
          <w:p w14:paraId="49C352D2" w14:textId="77777777" w:rsidR="00A37447" w:rsidRDefault="00A37447">
            <w:pPr>
              <w:keepNext/>
              <w:spacing w:after="20"/>
              <w:jc w:val="right"/>
            </w:pPr>
            <w:r>
              <w:rPr>
                <w:sz w:val="16"/>
              </w:rPr>
              <w:t>5,2 %</w:t>
            </w:r>
          </w:p>
        </w:tc>
      </w:tr>
    </w:tbl>
    <w:p w14:paraId="5A652DD9" w14:textId="77777777" w:rsidR="00A37447" w:rsidRPr="0036111A" w:rsidRDefault="00A37447">
      <w:pPr>
        <w:keepLines/>
        <w:spacing w:before="40"/>
        <w:jc w:val="right"/>
        <w:rPr>
          <w:lang w:val="es-PE"/>
        </w:rPr>
      </w:pPr>
      <w:r w:rsidRPr="0036111A">
        <w:rPr>
          <w:b/>
          <w:color w:val="404040"/>
          <w:sz w:val="15"/>
          <w:lang w:val="es-PE"/>
        </w:rPr>
        <w:t>FUENTE: Osinergmin, empresas del sector, APOYO Consultoría</w:t>
      </w:r>
    </w:p>
    <w:p w14:paraId="40F321C5" w14:textId="4C8625CC" w:rsidR="00A37447" w:rsidRDefault="00A37447">
      <w:pPr>
        <w:spacing w:before="160"/>
        <w:jc w:val="center"/>
      </w:pPr>
      <w:r>
        <w:rPr>
          <w:noProof/>
        </w:rPr>
        <w:drawing>
          <wp:inline distT="0" distB="0" distL="0" distR="0" wp14:anchorId="21D84DCB" wp14:editId="022D2138">
            <wp:extent cx="5400000" cy="3708387"/>
            <wp:effectExtent l="0" t="0" r="0" b="0"/>
            <wp:docPr id="2110891819" name="Imagen 211089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68.png"/>
                    <pic:cNvPicPr/>
                  </pic:nvPicPr>
                  <pic:blipFill>
                    <a:blip r:embed="rId82"/>
                    <a:stretch>
                      <a:fillRect/>
                    </a:stretch>
                  </pic:blipFill>
                  <pic:spPr>
                    <a:xfrm>
                      <a:off x="0" y="0"/>
                      <a:ext cx="5400000" cy="3708387"/>
                    </a:xfrm>
                    <a:prstGeom prst="rect">
                      <a:avLst/>
                    </a:prstGeom>
                  </pic:spPr>
                </pic:pic>
              </a:graphicData>
            </a:graphic>
          </wp:inline>
        </w:drawing>
      </w:r>
    </w:p>
    <w:p w14:paraId="7807F315" w14:textId="77777777" w:rsidR="00A37447" w:rsidRPr="0036111A" w:rsidRDefault="00A37447">
      <w:pPr>
        <w:pStyle w:val="Ttulo3"/>
        <w:pageBreakBefore/>
        <w:rPr>
          <w:lang w:val="es-PE"/>
        </w:rPr>
      </w:pPr>
      <w:bookmarkStart w:id="29" w:name="_Toc235083039"/>
      <w:r w:rsidRPr="0036111A">
        <w:rPr>
          <w:lang w:val="es-PE"/>
        </w:rPr>
        <w:lastRenderedPageBreak/>
        <w:t>3.2.9. Cifras financieras</w:t>
      </w:r>
      <w:bookmarkEnd w:id="29"/>
    </w:p>
    <w:p w14:paraId="640553F4" w14:textId="5164D3A8" w:rsidR="00A37447" w:rsidRPr="0036111A" w:rsidRDefault="00A37447">
      <w:pPr>
        <w:keepLines/>
        <w:spacing w:after="120"/>
        <w:rPr>
          <w:lang w:val="es-PE"/>
        </w:rPr>
      </w:pPr>
      <w:r w:rsidRPr="0036111A">
        <w:rPr>
          <w:highlight w:val="yellow"/>
          <w:lang w:val="es-PE"/>
        </w:rPr>
        <w:t xml:space="preserve">A </w:t>
      </w:r>
      <w:r w:rsidR="00AF00AE" w:rsidRPr="0036111A">
        <w:rPr>
          <w:highlight w:val="yellow"/>
          <w:lang w:val="es-PE"/>
        </w:rPr>
        <w:t>continuación,</w:t>
      </w:r>
      <w:r w:rsidRPr="0036111A">
        <w:rPr>
          <w:highlight w:val="yellow"/>
          <w:lang w:val="es-PE"/>
        </w:rPr>
        <w:t xml:space="preserve"> se presentan las principales cifras financieras de las concesionarias de distribución de gas natural (activo, pasivo, patrimonio, ingresos, utilidades y Ebitda), sus márgenes sobre ingresos y su estructura de endeudamiento, en dólares.</w:t>
      </w:r>
    </w:p>
    <w:p w14:paraId="3B72A410" w14:textId="77777777" w:rsidR="00A37447" w:rsidRPr="0036111A" w:rsidRDefault="00A37447">
      <w:pPr>
        <w:pStyle w:val="Ttulo4"/>
        <w:rPr>
          <w:lang w:val="es-PE"/>
        </w:rPr>
      </w:pPr>
      <w:bookmarkStart w:id="30" w:name="_Toc235083040"/>
      <w:r w:rsidRPr="0036111A">
        <w:rPr>
          <w:lang w:val="es-PE"/>
        </w:rPr>
        <w:t>3.2.9.1. Distribuidoras (cifras agregadas, sin Petroperú)</w:t>
      </w:r>
      <w:bookmarkEnd w:id="30"/>
    </w:p>
    <w:p w14:paraId="380CCD49" w14:textId="77777777" w:rsidR="00A37447" w:rsidRPr="0036111A" w:rsidRDefault="00A37447">
      <w:pPr>
        <w:keepNext/>
        <w:keepLines/>
        <w:spacing w:before="160" w:after="20"/>
        <w:rPr>
          <w:lang w:val="es-PE"/>
        </w:rPr>
      </w:pPr>
      <w:r w:rsidRPr="0036111A">
        <w:rPr>
          <w:b/>
          <w:color w:val="00838F"/>
          <w:sz w:val="20"/>
          <w:lang w:val="es-PE"/>
        </w:rPr>
        <w:t>DISTRIBUIDORAS (CIFRAS AGREGADAS, SIN PETROPERÚ): CIFRAS FINANCIERAS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216"/>
        <w:gridCol w:w="1215"/>
        <w:gridCol w:w="1215"/>
        <w:gridCol w:w="1215"/>
        <w:gridCol w:w="1215"/>
        <w:gridCol w:w="1215"/>
        <w:gridCol w:w="1215"/>
      </w:tblGrid>
      <w:tr w:rsidR="00855697" w14:paraId="37E77BA3" w14:textId="77777777">
        <w:trPr>
          <w:cantSplit/>
          <w:tblHeader/>
        </w:trPr>
        <w:tc>
          <w:tcPr>
            <w:tcW w:w="1215" w:type="dxa"/>
            <w:shd w:val="clear" w:color="auto" w:fill="1F3864"/>
          </w:tcPr>
          <w:p w14:paraId="5E2C2A55" w14:textId="77777777" w:rsidR="00A37447" w:rsidRDefault="00A37447">
            <w:pPr>
              <w:keepNext/>
            </w:pPr>
            <w:r>
              <w:rPr>
                <w:b/>
                <w:color w:val="FFFFFF"/>
                <w:sz w:val="17"/>
              </w:rPr>
              <w:t>US$ millones</w:t>
            </w:r>
          </w:p>
        </w:tc>
        <w:tc>
          <w:tcPr>
            <w:tcW w:w="1215" w:type="dxa"/>
            <w:shd w:val="clear" w:color="auto" w:fill="1F3864"/>
            <w:noWrap/>
          </w:tcPr>
          <w:p w14:paraId="5F60DD49" w14:textId="77777777" w:rsidR="00A37447" w:rsidRDefault="00A37447">
            <w:pPr>
              <w:keepNext/>
              <w:jc w:val="right"/>
            </w:pPr>
            <w:r>
              <w:rPr>
                <w:b/>
                <w:color w:val="FFFFFF"/>
                <w:sz w:val="17"/>
              </w:rPr>
              <w:t>2021</w:t>
            </w:r>
          </w:p>
        </w:tc>
        <w:tc>
          <w:tcPr>
            <w:tcW w:w="1215" w:type="dxa"/>
            <w:shd w:val="clear" w:color="auto" w:fill="1F3864"/>
            <w:noWrap/>
          </w:tcPr>
          <w:p w14:paraId="221634A1" w14:textId="77777777" w:rsidR="00A37447" w:rsidRDefault="00A37447">
            <w:pPr>
              <w:keepNext/>
              <w:jc w:val="right"/>
            </w:pPr>
            <w:r>
              <w:rPr>
                <w:b/>
                <w:color w:val="FFFFFF"/>
                <w:sz w:val="17"/>
              </w:rPr>
              <w:t>2022</w:t>
            </w:r>
          </w:p>
        </w:tc>
        <w:tc>
          <w:tcPr>
            <w:tcW w:w="1215" w:type="dxa"/>
            <w:shd w:val="clear" w:color="auto" w:fill="1F3864"/>
            <w:noWrap/>
          </w:tcPr>
          <w:p w14:paraId="48EDC8AC" w14:textId="77777777" w:rsidR="00A37447" w:rsidRDefault="00A37447">
            <w:pPr>
              <w:keepNext/>
              <w:jc w:val="right"/>
            </w:pPr>
            <w:r>
              <w:rPr>
                <w:b/>
                <w:color w:val="FFFFFF"/>
                <w:sz w:val="17"/>
              </w:rPr>
              <w:t>2023</w:t>
            </w:r>
          </w:p>
        </w:tc>
        <w:tc>
          <w:tcPr>
            <w:tcW w:w="1215" w:type="dxa"/>
            <w:shd w:val="clear" w:color="auto" w:fill="1F3864"/>
            <w:noWrap/>
          </w:tcPr>
          <w:p w14:paraId="65385390" w14:textId="77777777" w:rsidR="00A37447" w:rsidRDefault="00A37447">
            <w:pPr>
              <w:keepNext/>
              <w:jc w:val="right"/>
            </w:pPr>
            <w:r>
              <w:rPr>
                <w:b/>
                <w:color w:val="FFFFFF"/>
                <w:sz w:val="17"/>
              </w:rPr>
              <w:t>2024</w:t>
            </w:r>
          </w:p>
        </w:tc>
        <w:tc>
          <w:tcPr>
            <w:tcW w:w="1215" w:type="dxa"/>
            <w:shd w:val="clear" w:color="auto" w:fill="1F3864"/>
            <w:noWrap/>
          </w:tcPr>
          <w:p w14:paraId="3CEA966D" w14:textId="77777777" w:rsidR="00A37447" w:rsidRDefault="00A37447">
            <w:pPr>
              <w:keepNext/>
              <w:jc w:val="right"/>
            </w:pPr>
            <w:r>
              <w:rPr>
                <w:b/>
                <w:color w:val="FFFFFF"/>
                <w:sz w:val="17"/>
              </w:rPr>
              <w:t>2025</w:t>
            </w:r>
          </w:p>
        </w:tc>
        <w:tc>
          <w:tcPr>
            <w:tcW w:w="1215" w:type="dxa"/>
            <w:shd w:val="clear" w:color="auto" w:fill="1F3864"/>
          </w:tcPr>
          <w:p w14:paraId="0E99A8A5" w14:textId="77777777" w:rsidR="00A37447" w:rsidRDefault="00A37447">
            <w:pPr>
              <w:keepNext/>
              <w:jc w:val="right"/>
            </w:pPr>
            <w:r>
              <w:rPr>
                <w:b/>
                <w:color w:val="FFFFFF"/>
                <w:sz w:val="17"/>
              </w:rPr>
              <w:t>Var. % 2025 vs 2024</w:t>
            </w:r>
          </w:p>
        </w:tc>
      </w:tr>
      <w:tr w:rsidR="00855697" w14:paraId="7D45CFD3" w14:textId="77777777">
        <w:trPr>
          <w:cantSplit/>
        </w:trPr>
        <w:tc>
          <w:tcPr>
            <w:tcW w:w="1215" w:type="dxa"/>
            <w:noWrap/>
          </w:tcPr>
          <w:p w14:paraId="467EF0CF" w14:textId="77777777" w:rsidR="00A37447" w:rsidRDefault="00A37447">
            <w:pPr>
              <w:keepNext/>
              <w:spacing w:after="20"/>
            </w:pPr>
            <w:r>
              <w:rPr>
                <w:sz w:val="17"/>
              </w:rPr>
              <w:t>Activo</w:t>
            </w:r>
          </w:p>
        </w:tc>
        <w:tc>
          <w:tcPr>
            <w:tcW w:w="1215" w:type="dxa"/>
            <w:noWrap/>
          </w:tcPr>
          <w:p w14:paraId="0EE911D0" w14:textId="77777777" w:rsidR="00A37447" w:rsidRDefault="00A37447">
            <w:pPr>
              <w:keepNext/>
              <w:spacing w:after="20"/>
              <w:jc w:val="right"/>
            </w:pPr>
            <w:r>
              <w:rPr>
                <w:sz w:val="16"/>
              </w:rPr>
              <w:t>2.486</w:t>
            </w:r>
          </w:p>
        </w:tc>
        <w:tc>
          <w:tcPr>
            <w:tcW w:w="1215" w:type="dxa"/>
            <w:noWrap/>
          </w:tcPr>
          <w:p w14:paraId="1E5D1F86" w14:textId="77777777" w:rsidR="00A37447" w:rsidRDefault="00A37447">
            <w:pPr>
              <w:keepNext/>
              <w:spacing w:after="20"/>
              <w:jc w:val="right"/>
            </w:pPr>
            <w:r>
              <w:rPr>
                <w:sz w:val="16"/>
              </w:rPr>
              <w:t>2.696</w:t>
            </w:r>
          </w:p>
        </w:tc>
        <w:tc>
          <w:tcPr>
            <w:tcW w:w="1215" w:type="dxa"/>
            <w:noWrap/>
          </w:tcPr>
          <w:p w14:paraId="758F0BAD" w14:textId="77777777" w:rsidR="00A37447" w:rsidRDefault="00A37447">
            <w:pPr>
              <w:keepNext/>
              <w:spacing w:after="20"/>
              <w:jc w:val="right"/>
            </w:pPr>
            <w:r>
              <w:rPr>
                <w:sz w:val="16"/>
              </w:rPr>
              <w:t>2.909</w:t>
            </w:r>
          </w:p>
        </w:tc>
        <w:tc>
          <w:tcPr>
            <w:tcW w:w="1215" w:type="dxa"/>
            <w:noWrap/>
          </w:tcPr>
          <w:p w14:paraId="0BBFEE4D" w14:textId="77777777" w:rsidR="00A37447" w:rsidRDefault="00A37447">
            <w:pPr>
              <w:keepNext/>
              <w:spacing w:after="20"/>
              <w:jc w:val="right"/>
            </w:pPr>
            <w:r>
              <w:rPr>
                <w:sz w:val="16"/>
              </w:rPr>
              <w:t>3.036</w:t>
            </w:r>
          </w:p>
        </w:tc>
        <w:tc>
          <w:tcPr>
            <w:tcW w:w="1215" w:type="dxa"/>
            <w:noWrap/>
          </w:tcPr>
          <w:p w14:paraId="5D25BC97" w14:textId="77777777" w:rsidR="00A37447" w:rsidRDefault="00A37447">
            <w:pPr>
              <w:keepNext/>
              <w:spacing w:after="20"/>
              <w:jc w:val="right"/>
            </w:pPr>
            <w:r>
              <w:rPr>
                <w:sz w:val="16"/>
              </w:rPr>
              <w:t>3.145</w:t>
            </w:r>
          </w:p>
        </w:tc>
        <w:tc>
          <w:tcPr>
            <w:tcW w:w="1215" w:type="dxa"/>
            <w:noWrap/>
          </w:tcPr>
          <w:p w14:paraId="0BC0C4AD" w14:textId="77777777" w:rsidR="00A37447" w:rsidRDefault="00A37447">
            <w:pPr>
              <w:keepNext/>
              <w:spacing w:after="20"/>
              <w:jc w:val="right"/>
            </w:pPr>
            <w:r>
              <w:rPr>
                <w:sz w:val="16"/>
              </w:rPr>
              <w:t>3,6 %</w:t>
            </w:r>
          </w:p>
        </w:tc>
      </w:tr>
      <w:tr w:rsidR="00855697" w14:paraId="12B32349" w14:textId="77777777">
        <w:trPr>
          <w:cantSplit/>
        </w:trPr>
        <w:tc>
          <w:tcPr>
            <w:tcW w:w="1215" w:type="dxa"/>
            <w:noWrap/>
          </w:tcPr>
          <w:p w14:paraId="7A42CD95" w14:textId="77777777" w:rsidR="00A37447" w:rsidRDefault="00A37447">
            <w:pPr>
              <w:keepNext/>
              <w:spacing w:after="20"/>
            </w:pPr>
            <w:r>
              <w:rPr>
                <w:sz w:val="17"/>
              </w:rPr>
              <w:t>Pasivo</w:t>
            </w:r>
          </w:p>
        </w:tc>
        <w:tc>
          <w:tcPr>
            <w:tcW w:w="1215" w:type="dxa"/>
            <w:noWrap/>
          </w:tcPr>
          <w:p w14:paraId="6FD5B7C0" w14:textId="77777777" w:rsidR="00A37447" w:rsidRDefault="00A37447">
            <w:pPr>
              <w:keepNext/>
              <w:spacing w:after="20"/>
              <w:jc w:val="right"/>
            </w:pPr>
            <w:r>
              <w:rPr>
                <w:sz w:val="16"/>
              </w:rPr>
              <w:t>1.858</w:t>
            </w:r>
          </w:p>
        </w:tc>
        <w:tc>
          <w:tcPr>
            <w:tcW w:w="1215" w:type="dxa"/>
            <w:noWrap/>
          </w:tcPr>
          <w:p w14:paraId="74F72CDE" w14:textId="77777777" w:rsidR="00A37447" w:rsidRDefault="00A37447">
            <w:pPr>
              <w:keepNext/>
              <w:spacing w:after="20"/>
              <w:jc w:val="right"/>
            </w:pPr>
            <w:r>
              <w:rPr>
                <w:sz w:val="16"/>
              </w:rPr>
              <w:t>2.007</w:t>
            </w:r>
          </w:p>
        </w:tc>
        <w:tc>
          <w:tcPr>
            <w:tcW w:w="1215" w:type="dxa"/>
            <w:noWrap/>
          </w:tcPr>
          <w:p w14:paraId="4981450C" w14:textId="77777777" w:rsidR="00A37447" w:rsidRDefault="00A37447">
            <w:pPr>
              <w:keepNext/>
              <w:spacing w:after="20"/>
              <w:jc w:val="right"/>
            </w:pPr>
            <w:r>
              <w:rPr>
                <w:sz w:val="16"/>
              </w:rPr>
              <w:t>2.216</w:t>
            </w:r>
          </w:p>
        </w:tc>
        <w:tc>
          <w:tcPr>
            <w:tcW w:w="1215" w:type="dxa"/>
            <w:noWrap/>
          </w:tcPr>
          <w:p w14:paraId="7F42B5B2" w14:textId="77777777" w:rsidR="00A37447" w:rsidRDefault="00A37447">
            <w:pPr>
              <w:keepNext/>
              <w:spacing w:after="20"/>
              <w:jc w:val="right"/>
            </w:pPr>
            <w:r>
              <w:rPr>
                <w:sz w:val="16"/>
              </w:rPr>
              <w:t>2.287</w:t>
            </w:r>
          </w:p>
        </w:tc>
        <w:tc>
          <w:tcPr>
            <w:tcW w:w="1215" w:type="dxa"/>
            <w:noWrap/>
          </w:tcPr>
          <w:p w14:paraId="3D4173C9" w14:textId="77777777" w:rsidR="00A37447" w:rsidRDefault="00A37447">
            <w:pPr>
              <w:keepNext/>
              <w:spacing w:after="20"/>
              <w:jc w:val="right"/>
            </w:pPr>
            <w:r>
              <w:rPr>
                <w:sz w:val="16"/>
              </w:rPr>
              <w:t>2.383</w:t>
            </w:r>
          </w:p>
        </w:tc>
        <w:tc>
          <w:tcPr>
            <w:tcW w:w="1215" w:type="dxa"/>
            <w:noWrap/>
          </w:tcPr>
          <w:p w14:paraId="1303C542" w14:textId="77777777" w:rsidR="00A37447" w:rsidRDefault="00A37447">
            <w:pPr>
              <w:keepNext/>
              <w:spacing w:after="20"/>
              <w:jc w:val="right"/>
            </w:pPr>
            <w:r>
              <w:rPr>
                <w:sz w:val="16"/>
              </w:rPr>
              <w:t>4,2 %</w:t>
            </w:r>
          </w:p>
        </w:tc>
      </w:tr>
      <w:tr w:rsidR="00855697" w14:paraId="5AA75393" w14:textId="77777777">
        <w:trPr>
          <w:cantSplit/>
        </w:trPr>
        <w:tc>
          <w:tcPr>
            <w:tcW w:w="1215" w:type="dxa"/>
            <w:noWrap/>
          </w:tcPr>
          <w:p w14:paraId="7D5D64BC" w14:textId="77777777" w:rsidR="00A37447" w:rsidRDefault="00A37447">
            <w:pPr>
              <w:keepNext/>
              <w:spacing w:after="20"/>
            </w:pPr>
            <w:r>
              <w:rPr>
                <w:sz w:val="17"/>
              </w:rPr>
              <w:t>Patrimonio</w:t>
            </w:r>
          </w:p>
        </w:tc>
        <w:tc>
          <w:tcPr>
            <w:tcW w:w="1215" w:type="dxa"/>
            <w:noWrap/>
          </w:tcPr>
          <w:p w14:paraId="02EE6980" w14:textId="77777777" w:rsidR="00A37447" w:rsidRDefault="00A37447">
            <w:pPr>
              <w:keepNext/>
              <w:spacing w:after="20"/>
              <w:jc w:val="right"/>
            </w:pPr>
            <w:r>
              <w:rPr>
                <w:sz w:val="16"/>
              </w:rPr>
              <w:t>628</w:t>
            </w:r>
          </w:p>
        </w:tc>
        <w:tc>
          <w:tcPr>
            <w:tcW w:w="1215" w:type="dxa"/>
            <w:noWrap/>
          </w:tcPr>
          <w:p w14:paraId="0F5207E1" w14:textId="77777777" w:rsidR="00A37447" w:rsidRDefault="00A37447">
            <w:pPr>
              <w:keepNext/>
              <w:spacing w:after="20"/>
              <w:jc w:val="right"/>
            </w:pPr>
            <w:r>
              <w:rPr>
                <w:sz w:val="16"/>
              </w:rPr>
              <w:t>689</w:t>
            </w:r>
          </w:p>
        </w:tc>
        <w:tc>
          <w:tcPr>
            <w:tcW w:w="1215" w:type="dxa"/>
            <w:noWrap/>
          </w:tcPr>
          <w:p w14:paraId="5904F4F1" w14:textId="77777777" w:rsidR="00A37447" w:rsidRDefault="00A37447">
            <w:pPr>
              <w:keepNext/>
              <w:spacing w:after="20"/>
              <w:jc w:val="right"/>
            </w:pPr>
            <w:r>
              <w:rPr>
                <w:sz w:val="16"/>
              </w:rPr>
              <w:t>693</w:t>
            </w:r>
          </w:p>
        </w:tc>
        <w:tc>
          <w:tcPr>
            <w:tcW w:w="1215" w:type="dxa"/>
            <w:noWrap/>
          </w:tcPr>
          <w:p w14:paraId="2E35A6DB" w14:textId="77777777" w:rsidR="00A37447" w:rsidRDefault="00A37447">
            <w:pPr>
              <w:keepNext/>
              <w:spacing w:after="20"/>
              <w:jc w:val="right"/>
            </w:pPr>
            <w:r>
              <w:rPr>
                <w:sz w:val="16"/>
              </w:rPr>
              <w:t>750</w:t>
            </w:r>
          </w:p>
        </w:tc>
        <w:tc>
          <w:tcPr>
            <w:tcW w:w="1215" w:type="dxa"/>
            <w:noWrap/>
          </w:tcPr>
          <w:p w14:paraId="5B4EE936" w14:textId="77777777" w:rsidR="00A37447" w:rsidRDefault="00A37447">
            <w:pPr>
              <w:keepNext/>
              <w:spacing w:after="20"/>
              <w:jc w:val="right"/>
            </w:pPr>
            <w:r>
              <w:rPr>
                <w:sz w:val="16"/>
              </w:rPr>
              <w:t>762</w:t>
            </w:r>
          </w:p>
        </w:tc>
        <w:tc>
          <w:tcPr>
            <w:tcW w:w="1215" w:type="dxa"/>
            <w:noWrap/>
          </w:tcPr>
          <w:p w14:paraId="7D55ABA8" w14:textId="77777777" w:rsidR="00A37447" w:rsidRDefault="00A37447">
            <w:pPr>
              <w:keepNext/>
              <w:spacing w:after="20"/>
              <w:jc w:val="right"/>
            </w:pPr>
            <w:r>
              <w:rPr>
                <w:sz w:val="16"/>
              </w:rPr>
              <w:t>1,6 %</w:t>
            </w:r>
          </w:p>
        </w:tc>
      </w:tr>
      <w:tr w:rsidR="00855697" w14:paraId="7D0FFB44" w14:textId="77777777">
        <w:trPr>
          <w:cantSplit/>
        </w:trPr>
        <w:tc>
          <w:tcPr>
            <w:tcW w:w="1215" w:type="dxa"/>
          </w:tcPr>
          <w:p w14:paraId="603E1EDE" w14:textId="77777777" w:rsidR="00A37447" w:rsidRDefault="00A37447">
            <w:pPr>
              <w:keepNext/>
              <w:spacing w:after="20"/>
            </w:pPr>
            <w:r>
              <w:rPr>
                <w:sz w:val="17"/>
              </w:rPr>
              <w:t>Ingreso operacional</w:t>
            </w:r>
          </w:p>
        </w:tc>
        <w:tc>
          <w:tcPr>
            <w:tcW w:w="1215" w:type="dxa"/>
            <w:noWrap/>
          </w:tcPr>
          <w:p w14:paraId="4A331D23" w14:textId="77777777" w:rsidR="00A37447" w:rsidRDefault="00A37447">
            <w:pPr>
              <w:keepNext/>
              <w:spacing w:after="20"/>
              <w:jc w:val="right"/>
            </w:pPr>
            <w:r>
              <w:rPr>
                <w:sz w:val="16"/>
              </w:rPr>
              <w:t>1.089</w:t>
            </w:r>
          </w:p>
        </w:tc>
        <w:tc>
          <w:tcPr>
            <w:tcW w:w="1215" w:type="dxa"/>
            <w:noWrap/>
          </w:tcPr>
          <w:p w14:paraId="25F1B689" w14:textId="77777777" w:rsidR="00A37447" w:rsidRDefault="00A37447">
            <w:pPr>
              <w:keepNext/>
              <w:spacing w:after="20"/>
              <w:jc w:val="right"/>
            </w:pPr>
            <w:r>
              <w:rPr>
                <w:sz w:val="16"/>
              </w:rPr>
              <w:t>1.085</w:t>
            </w:r>
          </w:p>
        </w:tc>
        <w:tc>
          <w:tcPr>
            <w:tcW w:w="1215" w:type="dxa"/>
            <w:noWrap/>
          </w:tcPr>
          <w:p w14:paraId="44F4720C" w14:textId="77777777" w:rsidR="00A37447" w:rsidRDefault="00A37447">
            <w:pPr>
              <w:keepNext/>
              <w:spacing w:after="20"/>
              <w:jc w:val="right"/>
            </w:pPr>
            <w:r>
              <w:rPr>
                <w:sz w:val="16"/>
              </w:rPr>
              <w:t>1.159</w:t>
            </w:r>
          </w:p>
        </w:tc>
        <w:tc>
          <w:tcPr>
            <w:tcW w:w="1215" w:type="dxa"/>
            <w:noWrap/>
          </w:tcPr>
          <w:p w14:paraId="70C80CC0" w14:textId="77777777" w:rsidR="00A37447" w:rsidRDefault="00A37447">
            <w:pPr>
              <w:keepNext/>
              <w:spacing w:after="20"/>
              <w:jc w:val="right"/>
            </w:pPr>
            <w:r>
              <w:rPr>
                <w:sz w:val="16"/>
              </w:rPr>
              <w:t>1.215</w:t>
            </w:r>
          </w:p>
        </w:tc>
        <w:tc>
          <w:tcPr>
            <w:tcW w:w="1215" w:type="dxa"/>
            <w:noWrap/>
          </w:tcPr>
          <w:p w14:paraId="459E0C26" w14:textId="77777777" w:rsidR="00A37447" w:rsidRDefault="00A37447">
            <w:pPr>
              <w:keepNext/>
              <w:spacing w:after="20"/>
              <w:jc w:val="right"/>
            </w:pPr>
            <w:r>
              <w:rPr>
                <w:sz w:val="16"/>
              </w:rPr>
              <w:t>1.137</w:t>
            </w:r>
          </w:p>
        </w:tc>
        <w:tc>
          <w:tcPr>
            <w:tcW w:w="1215" w:type="dxa"/>
            <w:noWrap/>
          </w:tcPr>
          <w:p w14:paraId="5B44E4F2" w14:textId="77777777" w:rsidR="00A37447" w:rsidRDefault="00A37447">
            <w:pPr>
              <w:keepNext/>
              <w:spacing w:after="20"/>
              <w:jc w:val="right"/>
            </w:pPr>
            <w:r>
              <w:rPr>
                <w:sz w:val="16"/>
              </w:rPr>
              <w:t>-6,4 %</w:t>
            </w:r>
          </w:p>
        </w:tc>
      </w:tr>
      <w:tr w:rsidR="00855697" w14:paraId="05506749" w14:textId="77777777">
        <w:trPr>
          <w:cantSplit/>
        </w:trPr>
        <w:tc>
          <w:tcPr>
            <w:tcW w:w="1215" w:type="dxa"/>
          </w:tcPr>
          <w:p w14:paraId="69275A5C" w14:textId="77777777" w:rsidR="00A37447" w:rsidRDefault="00A37447">
            <w:pPr>
              <w:keepNext/>
              <w:spacing w:after="20"/>
            </w:pPr>
            <w:r>
              <w:rPr>
                <w:sz w:val="17"/>
              </w:rPr>
              <w:t>Utilidad operacional</w:t>
            </w:r>
          </w:p>
        </w:tc>
        <w:tc>
          <w:tcPr>
            <w:tcW w:w="1215" w:type="dxa"/>
            <w:noWrap/>
          </w:tcPr>
          <w:p w14:paraId="25C2629A" w14:textId="77777777" w:rsidR="00A37447" w:rsidRDefault="00A37447">
            <w:pPr>
              <w:keepNext/>
              <w:spacing w:after="20"/>
              <w:jc w:val="right"/>
            </w:pPr>
            <w:r>
              <w:rPr>
                <w:sz w:val="16"/>
              </w:rPr>
              <w:t>276</w:t>
            </w:r>
          </w:p>
        </w:tc>
        <w:tc>
          <w:tcPr>
            <w:tcW w:w="1215" w:type="dxa"/>
            <w:noWrap/>
          </w:tcPr>
          <w:p w14:paraId="2D4D65FE" w14:textId="77777777" w:rsidR="00A37447" w:rsidRDefault="00A37447">
            <w:pPr>
              <w:keepNext/>
              <w:spacing w:after="20"/>
              <w:jc w:val="right"/>
            </w:pPr>
            <w:r>
              <w:rPr>
                <w:sz w:val="16"/>
              </w:rPr>
              <w:t>240</w:t>
            </w:r>
          </w:p>
        </w:tc>
        <w:tc>
          <w:tcPr>
            <w:tcW w:w="1215" w:type="dxa"/>
            <w:noWrap/>
          </w:tcPr>
          <w:p w14:paraId="0D4E9605" w14:textId="77777777" w:rsidR="00A37447" w:rsidRDefault="00A37447">
            <w:pPr>
              <w:keepNext/>
              <w:spacing w:after="20"/>
              <w:jc w:val="right"/>
            </w:pPr>
            <w:r>
              <w:rPr>
                <w:sz w:val="16"/>
              </w:rPr>
              <w:t>256</w:t>
            </w:r>
          </w:p>
        </w:tc>
        <w:tc>
          <w:tcPr>
            <w:tcW w:w="1215" w:type="dxa"/>
            <w:noWrap/>
          </w:tcPr>
          <w:p w14:paraId="1ADE0201" w14:textId="77777777" w:rsidR="00A37447" w:rsidRDefault="00A37447">
            <w:pPr>
              <w:keepNext/>
              <w:spacing w:after="20"/>
              <w:jc w:val="right"/>
            </w:pPr>
            <w:r>
              <w:rPr>
                <w:sz w:val="16"/>
              </w:rPr>
              <w:t>284</w:t>
            </w:r>
          </w:p>
        </w:tc>
        <w:tc>
          <w:tcPr>
            <w:tcW w:w="1215" w:type="dxa"/>
            <w:noWrap/>
          </w:tcPr>
          <w:p w14:paraId="51FF9F14" w14:textId="77777777" w:rsidR="00A37447" w:rsidRDefault="00A37447">
            <w:pPr>
              <w:keepNext/>
              <w:spacing w:after="20"/>
              <w:jc w:val="right"/>
            </w:pPr>
            <w:r>
              <w:rPr>
                <w:sz w:val="16"/>
              </w:rPr>
              <w:t>282</w:t>
            </w:r>
          </w:p>
        </w:tc>
        <w:tc>
          <w:tcPr>
            <w:tcW w:w="1215" w:type="dxa"/>
            <w:noWrap/>
          </w:tcPr>
          <w:p w14:paraId="56869D61" w14:textId="77777777" w:rsidR="00A37447" w:rsidRDefault="00A37447">
            <w:pPr>
              <w:keepNext/>
              <w:spacing w:after="20"/>
              <w:jc w:val="right"/>
            </w:pPr>
            <w:r>
              <w:rPr>
                <w:sz w:val="16"/>
              </w:rPr>
              <w:t>-0,6 %</w:t>
            </w:r>
          </w:p>
        </w:tc>
      </w:tr>
      <w:tr w:rsidR="00855697" w14:paraId="50F06CD9" w14:textId="77777777">
        <w:trPr>
          <w:cantSplit/>
        </w:trPr>
        <w:tc>
          <w:tcPr>
            <w:tcW w:w="1215" w:type="dxa"/>
          </w:tcPr>
          <w:p w14:paraId="78971536" w14:textId="77777777" w:rsidR="00A37447" w:rsidRDefault="00A37447">
            <w:pPr>
              <w:keepNext/>
              <w:spacing w:after="20"/>
            </w:pPr>
            <w:r>
              <w:rPr>
                <w:sz w:val="17"/>
              </w:rPr>
              <w:t>Utilidad neta</w:t>
            </w:r>
          </w:p>
        </w:tc>
        <w:tc>
          <w:tcPr>
            <w:tcW w:w="1215" w:type="dxa"/>
            <w:noWrap/>
          </w:tcPr>
          <w:p w14:paraId="5715B393" w14:textId="77777777" w:rsidR="00A37447" w:rsidRDefault="00A37447">
            <w:pPr>
              <w:keepNext/>
              <w:spacing w:after="20"/>
              <w:jc w:val="right"/>
            </w:pPr>
            <w:r>
              <w:rPr>
                <w:sz w:val="16"/>
              </w:rPr>
              <w:t>163</w:t>
            </w:r>
          </w:p>
        </w:tc>
        <w:tc>
          <w:tcPr>
            <w:tcW w:w="1215" w:type="dxa"/>
            <w:noWrap/>
          </w:tcPr>
          <w:p w14:paraId="7696EB16" w14:textId="77777777" w:rsidR="00A37447" w:rsidRDefault="00A37447">
            <w:pPr>
              <w:keepNext/>
              <w:spacing w:after="20"/>
              <w:jc w:val="right"/>
            </w:pPr>
            <w:r>
              <w:rPr>
                <w:sz w:val="16"/>
              </w:rPr>
              <w:t>113</w:t>
            </w:r>
          </w:p>
        </w:tc>
        <w:tc>
          <w:tcPr>
            <w:tcW w:w="1215" w:type="dxa"/>
            <w:noWrap/>
          </w:tcPr>
          <w:p w14:paraId="16C59F49" w14:textId="77777777" w:rsidR="00A37447" w:rsidRDefault="00A37447">
            <w:pPr>
              <w:keepNext/>
              <w:spacing w:after="20"/>
              <w:jc w:val="right"/>
            </w:pPr>
            <w:r>
              <w:rPr>
                <w:sz w:val="16"/>
              </w:rPr>
              <w:t>105</w:t>
            </w:r>
          </w:p>
        </w:tc>
        <w:tc>
          <w:tcPr>
            <w:tcW w:w="1215" w:type="dxa"/>
            <w:noWrap/>
          </w:tcPr>
          <w:p w14:paraId="367C6366" w14:textId="77777777" w:rsidR="00A37447" w:rsidRDefault="00A37447">
            <w:pPr>
              <w:keepNext/>
              <w:spacing w:after="20"/>
              <w:jc w:val="right"/>
            </w:pPr>
            <w:r>
              <w:rPr>
                <w:sz w:val="16"/>
              </w:rPr>
              <w:t>129</w:t>
            </w:r>
          </w:p>
        </w:tc>
        <w:tc>
          <w:tcPr>
            <w:tcW w:w="1215" w:type="dxa"/>
            <w:noWrap/>
          </w:tcPr>
          <w:p w14:paraId="5CFE1C84" w14:textId="77777777" w:rsidR="00A37447" w:rsidRDefault="00A37447">
            <w:pPr>
              <w:keepNext/>
              <w:spacing w:after="20"/>
              <w:jc w:val="right"/>
            </w:pPr>
            <w:r>
              <w:rPr>
                <w:sz w:val="16"/>
              </w:rPr>
              <w:t>119</w:t>
            </w:r>
          </w:p>
        </w:tc>
        <w:tc>
          <w:tcPr>
            <w:tcW w:w="1215" w:type="dxa"/>
            <w:noWrap/>
          </w:tcPr>
          <w:p w14:paraId="1B98D357" w14:textId="77777777" w:rsidR="00A37447" w:rsidRDefault="00A37447">
            <w:pPr>
              <w:keepNext/>
              <w:spacing w:after="20"/>
              <w:jc w:val="right"/>
            </w:pPr>
            <w:r>
              <w:rPr>
                <w:sz w:val="16"/>
              </w:rPr>
              <w:t>-7,9 %</w:t>
            </w:r>
          </w:p>
        </w:tc>
      </w:tr>
      <w:tr w:rsidR="00855697" w14:paraId="10B3DDDF" w14:textId="77777777">
        <w:trPr>
          <w:cantSplit/>
        </w:trPr>
        <w:tc>
          <w:tcPr>
            <w:tcW w:w="1215" w:type="dxa"/>
            <w:noWrap/>
          </w:tcPr>
          <w:p w14:paraId="328C9C2C" w14:textId="2418B7FD" w:rsidR="00A37447" w:rsidRDefault="00000000">
            <w:pPr>
              <w:keepNext/>
              <w:spacing w:after="20"/>
            </w:pPr>
            <w:r>
              <w:rPr>
                <w:sz w:val="17"/>
              </w:rPr>
              <w:t>Ebitda</w:t>
            </w:r>
          </w:p>
        </w:tc>
        <w:tc>
          <w:tcPr>
            <w:tcW w:w="1215" w:type="dxa"/>
            <w:noWrap/>
          </w:tcPr>
          <w:p w14:paraId="57500792" w14:textId="77777777" w:rsidR="00A37447" w:rsidRDefault="00A37447">
            <w:pPr>
              <w:keepNext/>
              <w:spacing w:after="20"/>
              <w:jc w:val="right"/>
            </w:pPr>
            <w:r>
              <w:rPr>
                <w:sz w:val="16"/>
              </w:rPr>
              <w:t>308</w:t>
            </w:r>
          </w:p>
        </w:tc>
        <w:tc>
          <w:tcPr>
            <w:tcW w:w="1215" w:type="dxa"/>
            <w:noWrap/>
          </w:tcPr>
          <w:p w14:paraId="343F3FBC" w14:textId="77777777" w:rsidR="00A37447" w:rsidRDefault="00A37447">
            <w:pPr>
              <w:keepNext/>
              <w:spacing w:after="20"/>
              <w:jc w:val="right"/>
            </w:pPr>
            <w:r>
              <w:rPr>
                <w:sz w:val="16"/>
              </w:rPr>
              <w:t>317</w:t>
            </w:r>
          </w:p>
        </w:tc>
        <w:tc>
          <w:tcPr>
            <w:tcW w:w="1215" w:type="dxa"/>
            <w:noWrap/>
          </w:tcPr>
          <w:p w14:paraId="797CE503" w14:textId="77777777" w:rsidR="00A37447" w:rsidRDefault="00A37447">
            <w:pPr>
              <w:keepNext/>
              <w:spacing w:after="20"/>
              <w:jc w:val="right"/>
            </w:pPr>
            <w:r>
              <w:rPr>
                <w:sz w:val="16"/>
              </w:rPr>
              <w:t>325</w:t>
            </w:r>
          </w:p>
        </w:tc>
        <w:tc>
          <w:tcPr>
            <w:tcW w:w="1215" w:type="dxa"/>
            <w:noWrap/>
          </w:tcPr>
          <w:p w14:paraId="476A9C80" w14:textId="77777777" w:rsidR="00A37447" w:rsidRDefault="00A37447">
            <w:pPr>
              <w:keepNext/>
              <w:spacing w:after="20"/>
              <w:jc w:val="right"/>
            </w:pPr>
            <w:r>
              <w:rPr>
                <w:sz w:val="16"/>
              </w:rPr>
              <w:t>358</w:t>
            </w:r>
          </w:p>
        </w:tc>
        <w:tc>
          <w:tcPr>
            <w:tcW w:w="1215" w:type="dxa"/>
            <w:noWrap/>
          </w:tcPr>
          <w:p w14:paraId="6002B071" w14:textId="77777777" w:rsidR="00A37447" w:rsidRDefault="00A37447">
            <w:pPr>
              <w:keepNext/>
              <w:spacing w:after="20"/>
              <w:jc w:val="right"/>
            </w:pPr>
            <w:r>
              <w:rPr>
                <w:sz w:val="16"/>
              </w:rPr>
              <w:t>364</w:t>
            </w:r>
          </w:p>
        </w:tc>
        <w:tc>
          <w:tcPr>
            <w:tcW w:w="1215" w:type="dxa"/>
            <w:noWrap/>
          </w:tcPr>
          <w:p w14:paraId="6237C600" w14:textId="77777777" w:rsidR="00A37447" w:rsidRDefault="00A37447">
            <w:pPr>
              <w:keepNext/>
              <w:spacing w:after="20"/>
              <w:jc w:val="right"/>
            </w:pPr>
            <w:r>
              <w:rPr>
                <w:sz w:val="16"/>
              </w:rPr>
              <w:t>1,7 %</w:t>
            </w:r>
          </w:p>
        </w:tc>
      </w:tr>
    </w:tbl>
    <w:p w14:paraId="5F536EC1" w14:textId="77777777" w:rsidR="00A37447" w:rsidRPr="0036111A" w:rsidRDefault="00A37447">
      <w:pPr>
        <w:keepLines/>
        <w:spacing w:before="40"/>
        <w:jc w:val="right"/>
        <w:rPr>
          <w:lang w:val="es-PE"/>
        </w:rPr>
      </w:pPr>
      <w:r w:rsidRPr="0036111A">
        <w:rPr>
          <w:b/>
          <w:color w:val="404040"/>
          <w:sz w:val="15"/>
          <w:lang w:val="es-PE"/>
        </w:rPr>
        <w:t>FUENTE: Empresas del sector, APOYO Consultoría</w:t>
      </w:r>
    </w:p>
    <w:p w14:paraId="143F67DB" w14:textId="63572439" w:rsidR="00A37447" w:rsidRDefault="00A37447">
      <w:pPr>
        <w:spacing w:before="160"/>
        <w:jc w:val="center"/>
      </w:pPr>
      <w:r>
        <w:rPr>
          <w:noProof/>
        </w:rPr>
        <w:drawing>
          <wp:inline distT="0" distB="0" distL="0" distR="0" wp14:anchorId="186004DD" wp14:editId="36A74983">
            <wp:extent cx="4320000" cy="2860245"/>
            <wp:effectExtent l="0" t="0" r="0" b="0"/>
            <wp:docPr id="2110891820" name="Imagen 211089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12.png"/>
                    <pic:cNvPicPr/>
                  </pic:nvPicPr>
                  <pic:blipFill>
                    <a:blip r:embed="rId22"/>
                    <a:stretch>
                      <a:fillRect/>
                    </a:stretch>
                  </pic:blipFill>
                  <pic:spPr>
                    <a:xfrm>
                      <a:off x="0" y="0"/>
                      <a:ext cx="4320000" cy="2860245"/>
                    </a:xfrm>
                    <a:prstGeom prst="rect">
                      <a:avLst/>
                    </a:prstGeom>
                  </pic:spPr>
                </pic:pic>
              </a:graphicData>
            </a:graphic>
          </wp:inline>
        </w:drawing>
      </w:r>
    </w:p>
    <w:p w14:paraId="2130E40C" w14:textId="21158B35" w:rsidR="00C75A27" w:rsidRDefault="00D4093E">
      <w:pPr>
        <w:spacing w:before="160"/>
        <w:jc w:val="center"/>
      </w:pPr>
      <w:r>
        <w:rPr>
          <w:noProof/>
        </w:rPr>
        <w:lastRenderedPageBreak/>
        <w:drawing>
          <wp:inline distT="0" distB="0" distL="0" distR="0" wp14:anchorId="4ABBEC0C" wp14:editId="265B70D0">
            <wp:extent cx="4320000" cy="2888318"/>
            <wp:effectExtent l="0" t="0" r="0" b="0"/>
            <wp:docPr id="2110891821" name="Imagen 211089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70.png"/>
                    <pic:cNvPicPr/>
                  </pic:nvPicPr>
                  <pic:blipFill>
                    <a:blip r:embed="rId83"/>
                    <a:stretch>
                      <a:fillRect/>
                    </a:stretch>
                  </pic:blipFill>
                  <pic:spPr>
                    <a:xfrm>
                      <a:off x="0" y="0"/>
                      <a:ext cx="4320000" cy="2888318"/>
                    </a:xfrm>
                    <a:prstGeom prst="rect">
                      <a:avLst/>
                    </a:prstGeom>
                  </pic:spPr>
                </pic:pic>
              </a:graphicData>
            </a:graphic>
          </wp:inline>
        </w:drawing>
      </w:r>
    </w:p>
    <w:p w14:paraId="31A9366A" w14:textId="77777777" w:rsidR="00A37447" w:rsidRDefault="00A37447">
      <w:pPr>
        <w:pStyle w:val="Ttulo4"/>
        <w:pageBreakBefore/>
      </w:pPr>
      <w:bookmarkStart w:id="31" w:name="_Toc235083041"/>
      <w:r>
        <w:lastRenderedPageBreak/>
        <w:t>3.2.9.2. Cálidda</w:t>
      </w:r>
      <w:bookmarkEnd w:id="31"/>
    </w:p>
    <w:p w14:paraId="43994CB6" w14:textId="77777777" w:rsidR="00A37447" w:rsidRDefault="00A37447">
      <w:pPr>
        <w:keepNext/>
        <w:keepLines/>
        <w:spacing w:before="160" w:after="20"/>
      </w:pPr>
      <w:r>
        <w:rPr>
          <w:b/>
          <w:color w:val="00838F"/>
          <w:sz w:val="20"/>
        </w:rPr>
        <w:t>CÁLIDDA: CIFRAS FINANCIERAS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216"/>
        <w:gridCol w:w="1215"/>
        <w:gridCol w:w="1215"/>
        <w:gridCol w:w="1215"/>
        <w:gridCol w:w="1215"/>
        <w:gridCol w:w="1215"/>
        <w:gridCol w:w="1215"/>
      </w:tblGrid>
      <w:tr w:rsidR="00855697" w14:paraId="7C039218" w14:textId="77777777">
        <w:trPr>
          <w:cantSplit/>
          <w:tblHeader/>
        </w:trPr>
        <w:tc>
          <w:tcPr>
            <w:tcW w:w="1215" w:type="dxa"/>
            <w:shd w:val="clear" w:color="auto" w:fill="1F3864"/>
          </w:tcPr>
          <w:p w14:paraId="6B20B18A" w14:textId="77777777" w:rsidR="00A37447" w:rsidRDefault="00A37447">
            <w:pPr>
              <w:keepNext/>
            </w:pPr>
            <w:r>
              <w:rPr>
                <w:b/>
                <w:color w:val="FFFFFF"/>
                <w:sz w:val="17"/>
              </w:rPr>
              <w:t>US$ millones</w:t>
            </w:r>
          </w:p>
        </w:tc>
        <w:tc>
          <w:tcPr>
            <w:tcW w:w="1215" w:type="dxa"/>
            <w:shd w:val="clear" w:color="auto" w:fill="1F3864"/>
            <w:noWrap/>
          </w:tcPr>
          <w:p w14:paraId="6047E9A7" w14:textId="77777777" w:rsidR="00A37447" w:rsidRDefault="00A37447">
            <w:pPr>
              <w:keepNext/>
              <w:jc w:val="right"/>
            </w:pPr>
            <w:r>
              <w:rPr>
                <w:b/>
                <w:color w:val="FFFFFF"/>
                <w:sz w:val="17"/>
              </w:rPr>
              <w:t>2021</w:t>
            </w:r>
          </w:p>
        </w:tc>
        <w:tc>
          <w:tcPr>
            <w:tcW w:w="1215" w:type="dxa"/>
            <w:shd w:val="clear" w:color="auto" w:fill="1F3864"/>
            <w:noWrap/>
          </w:tcPr>
          <w:p w14:paraId="41DB8283" w14:textId="77777777" w:rsidR="00A37447" w:rsidRDefault="00A37447">
            <w:pPr>
              <w:keepNext/>
              <w:jc w:val="right"/>
            </w:pPr>
            <w:r>
              <w:rPr>
                <w:b/>
                <w:color w:val="FFFFFF"/>
                <w:sz w:val="17"/>
              </w:rPr>
              <w:t>2022</w:t>
            </w:r>
          </w:p>
        </w:tc>
        <w:tc>
          <w:tcPr>
            <w:tcW w:w="1215" w:type="dxa"/>
            <w:shd w:val="clear" w:color="auto" w:fill="1F3864"/>
            <w:noWrap/>
          </w:tcPr>
          <w:p w14:paraId="1D2AA313" w14:textId="77777777" w:rsidR="00A37447" w:rsidRDefault="00A37447">
            <w:pPr>
              <w:keepNext/>
              <w:jc w:val="right"/>
            </w:pPr>
            <w:r>
              <w:rPr>
                <w:b/>
                <w:color w:val="FFFFFF"/>
                <w:sz w:val="17"/>
              </w:rPr>
              <w:t>2023</w:t>
            </w:r>
          </w:p>
        </w:tc>
        <w:tc>
          <w:tcPr>
            <w:tcW w:w="1215" w:type="dxa"/>
            <w:shd w:val="clear" w:color="auto" w:fill="1F3864"/>
            <w:noWrap/>
          </w:tcPr>
          <w:p w14:paraId="07BECE52" w14:textId="77777777" w:rsidR="00A37447" w:rsidRDefault="00A37447">
            <w:pPr>
              <w:keepNext/>
              <w:jc w:val="right"/>
            </w:pPr>
            <w:r>
              <w:rPr>
                <w:b/>
                <w:color w:val="FFFFFF"/>
                <w:sz w:val="17"/>
              </w:rPr>
              <w:t>2024</w:t>
            </w:r>
          </w:p>
        </w:tc>
        <w:tc>
          <w:tcPr>
            <w:tcW w:w="1215" w:type="dxa"/>
            <w:shd w:val="clear" w:color="auto" w:fill="1F3864"/>
            <w:noWrap/>
          </w:tcPr>
          <w:p w14:paraId="3DFDDF07" w14:textId="77777777" w:rsidR="00A37447" w:rsidRDefault="00A37447">
            <w:pPr>
              <w:keepNext/>
              <w:jc w:val="right"/>
            </w:pPr>
            <w:r>
              <w:rPr>
                <w:b/>
                <w:color w:val="FFFFFF"/>
                <w:sz w:val="17"/>
              </w:rPr>
              <w:t>2025</w:t>
            </w:r>
          </w:p>
        </w:tc>
        <w:tc>
          <w:tcPr>
            <w:tcW w:w="1215" w:type="dxa"/>
            <w:shd w:val="clear" w:color="auto" w:fill="1F3864"/>
          </w:tcPr>
          <w:p w14:paraId="4F61F512" w14:textId="77777777" w:rsidR="00A37447" w:rsidRDefault="00A37447">
            <w:pPr>
              <w:keepNext/>
              <w:jc w:val="right"/>
            </w:pPr>
            <w:r>
              <w:rPr>
                <w:b/>
                <w:color w:val="FFFFFF"/>
                <w:sz w:val="17"/>
              </w:rPr>
              <w:t>Var. % 2025 vs 2024</w:t>
            </w:r>
          </w:p>
        </w:tc>
      </w:tr>
      <w:tr w:rsidR="00855697" w14:paraId="4E87240C" w14:textId="77777777">
        <w:trPr>
          <w:cantSplit/>
        </w:trPr>
        <w:tc>
          <w:tcPr>
            <w:tcW w:w="1215" w:type="dxa"/>
            <w:noWrap/>
          </w:tcPr>
          <w:p w14:paraId="3008ABC4" w14:textId="77777777" w:rsidR="00A37447" w:rsidRDefault="00A37447">
            <w:pPr>
              <w:keepNext/>
              <w:spacing w:after="20"/>
            </w:pPr>
            <w:r>
              <w:rPr>
                <w:sz w:val="17"/>
              </w:rPr>
              <w:t>Activo</w:t>
            </w:r>
          </w:p>
        </w:tc>
        <w:tc>
          <w:tcPr>
            <w:tcW w:w="1215" w:type="dxa"/>
            <w:noWrap/>
          </w:tcPr>
          <w:p w14:paraId="57B23A38" w14:textId="77777777" w:rsidR="00A37447" w:rsidRDefault="00A37447">
            <w:pPr>
              <w:keepNext/>
              <w:spacing w:after="20"/>
              <w:jc w:val="right"/>
            </w:pPr>
            <w:r>
              <w:rPr>
                <w:sz w:val="16"/>
              </w:rPr>
              <w:t>1.307</w:t>
            </w:r>
          </w:p>
        </w:tc>
        <w:tc>
          <w:tcPr>
            <w:tcW w:w="1215" w:type="dxa"/>
            <w:noWrap/>
          </w:tcPr>
          <w:p w14:paraId="6B706323" w14:textId="77777777" w:rsidR="00A37447" w:rsidRDefault="00A37447">
            <w:pPr>
              <w:keepNext/>
              <w:spacing w:after="20"/>
              <w:jc w:val="right"/>
            </w:pPr>
            <w:r>
              <w:rPr>
                <w:sz w:val="16"/>
              </w:rPr>
              <w:t>1.409</w:t>
            </w:r>
          </w:p>
        </w:tc>
        <w:tc>
          <w:tcPr>
            <w:tcW w:w="1215" w:type="dxa"/>
            <w:noWrap/>
          </w:tcPr>
          <w:p w14:paraId="51982C07" w14:textId="77777777" w:rsidR="00A37447" w:rsidRDefault="00A37447">
            <w:pPr>
              <w:keepNext/>
              <w:spacing w:after="20"/>
              <w:jc w:val="right"/>
            </w:pPr>
            <w:r>
              <w:rPr>
                <w:sz w:val="16"/>
              </w:rPr>
              <w:t>1.513</w:t>
            </w:r>
          </w:p>
        </w:tc>
        <w:tc>
          <w:tcPr>
            <w:tcW w:w="1215" w:type="dxa"/>
            <w:noWrap/>
          </w:tcPr>
          <w:p w14:paraId="55DDDB30" w14:textId="77777777" w:rsidR="00A37447" w:rsidRDefault="00A37447">
            <w:pPr>
              <w:keepNext/>
              <w:spacing w:after="20"/>
              <w:jc w:val="right"/>
            </w:pPr>
            <w:r>
              <w:rPr>
                <w:sz w:val="16"/>
              </w:rPr>
              <w:t>1.592</w:t>
            </w:r>
          </w:p>
        </w:tc>
        <w:tc>
          <w:tcPr>
            <w:tcW w:w="1215" w:type="dxa"/>
            <w:noWrap/>
          </w:tcPr>
          <w:p w14:paraId="3B2EA7B0" w14:textId="77777777" w:rsidR="00A37447" w:rsidRDefault="00A37447">
            <w:pPr>
              <w:keepNext/>
              <w:spacing w:after="20"/>
              <w:jc w:val="right"/>
            </w:pPr>
            <w:r>
              <w:rPr>
                <w:sz w:val="16"/>
              </w:rPr>
              <w:t>1.673</w:t>
            </w:r>
          </w:p>
        </w:tc>
        <w:tc>
          <w:tcPr>
            <w:tcW w:w="1215" w:type="dxa"/>
            <w:noWrap/>
          </w:tcPr>
          <w:p w14:paraId="07E3F052" w14:textId="77777777" w:rsidR="00A37447" w:rsidRDefault="00A37447">
            <w:pPr>
              <w:keepNext/>
              <w:spacing w:after="20"/>
              <w:jc w:val="right"/>
            </w:pPr>
            <w:r>
              <w:rPr>
                <w:sz w:val="16"/>
              </w:rPr>
              <w:t>5,0 %</w:t>
            </w:r>
          </w:p>
        </w:tc>
      </w:tr>
      <w:tr w:rsidR="00855697" w14:paraId="2341330F" w14:textId="77777777">
        <w:trPr>
          <w:cantSplit/>
        </w:trPr>
        <w:tc>
          <w:tcPr>
            <w:tcW w:w="1215" w:type="dxa"/>
            <w:noWrap/>
          </w:tcPr>
          <w:p w14:paraId="317ECB49" w14:textId="77777777" w:rsidR="00A37447" w:rsidRDefault="00A37447">
            <w:pPr>
              <w:keepNext/>
              <w:spacing w:after="20"/>
            </w:pPr>
            <w:r>
              <w:rPr>
                <w:sz w:val="17"/>
              </w:rPr>
              <w:t>Pasivo</w:t>
            </w:r>
          </w:p>
        </w:tc>
        <w:tc>
          <w:tcPr>
            <w:tcW w:w="1215" w:type="dxa"/>
            <w:noWrap/>
          </w:tcPr>
          <w:p w14:paraId="68496AB6" w14:textId="77777777" w:rsidR="00A37447" w:rsidRDefault="00A37447">
            <w:pPr>
              <w:keepNext/>
              <w:spacing w:after="20"/>
              <w:jc w:val="right"/>
            </w:pPr>
            <w:r>
              <w:rPr>
                <w:sz w:val="16"/>
              </w:rPr>
              <w:t>948</w:t>
            </w:r>
          </w:p>
        </w:tc>
        <w:tc>
          <w:tcPr>
            <w:tcW w:w="1215" w:type="dxa"/>
            <w:noWrap/>
          </w:tcPr>
          <w:p w14:paraId="638FB4FC" w14:textId="77777777" w:rsidR="00A37447" w:rsidRDefault="00A37447">
            <w:pPr>
              <w:keepNext/>
              <w:spacing w:after="20"/>
              <w:jc w:val="right"/>
            </w:pPr>
            <w:r>
              <w:rPr>
                <w:sz w:val="16"/>
              </w:rPr>
              <w:t>1.006</w:t>
            </w:r>
          </w:p>
        </w:tc>
        <w:tc>
          <w:tcPr>
            <w:tcW w:w="1215" w:type="dxa"/>
            <w:noWrap/>
          </w:tcPr>
          <w:p w14:paraId="1B1F24D4" w14:textId="77777777" w:rsidR="00A37447" w:rsidRDefault="00A37447">
            <w:pPr>
              <w:keepNext/>
              <w:spacing w:after="20"/>
              <w:jc w:val="right"/>
            </w:pPr>
            <w:r>
              <w:rPr>
                <w:sz w:val="16"/>
              </w:rPr>
              <w:t>1.119</w:t>
            </w:r>
          </w:p>
        </w:tc>
        <w:tc>
          <w:tcPr>
            <w:tcW w:w="1215" w:type="dxa"/>
            <w:noWrap/>
          </w:tcPr>
          <w:p w14:paraId="14D4A778" w14:textId="77777777" w:rsidR="00A37447" w:rsidRDefault="00A37447">
            <w:pPr>
              <w:keepNext/>
              <w:spacing w:after="20"/>
              <w:jc w:val="right"/>
            </w:pPr>
            <w:r>
              <w:rPr>
                <w:sz w:val="16"/>
              </w:rPr>
              <w:t>1.193</w:t>
            </w:r>
          </w:p>
        </w:tc>
        <w:tc>
          <w:tcPr>
            <w:tcW w:w="1215" w:type="dxa"/>
            <w:noWrap/>
          </w:tcPr>
          <w:p w14:paraId="3D2960E3" w14:textId="77777777" w:rsidR="00A37447" w:rsidRDefault="00A37447">
            <w:pPr>
              <w:keepNext/>
              <w:spacing w:after="20"/>
              <w:jc w:val="right"/>
            </w:pPr>
            <w:r>
              <w:rPr>
                <w:sz w:val="16"/>
              </w:rPr>
              <w:t>1.289</w:t>
            </w:r>
          </w:p>
        </w:tc>
        <w:tc>
          <w:tcPr>
            <w:tcW w:w="1215" w:type="dxa"/>
            <w:noWrap/>
          </w:tcPr>
          <w:p w14:paraId="7776CA70" w14:textId="77777777" w:rsidR="00A37447" w:rsidRDefault="00A37447">
            <w:pPr>
              <w:keepNext/>
              <w:spacing w:after="20"/>
              <w:jc w:val="right"/>
            </w:pPr>
            <w:r>
              <w:rPr>
                <w:sz w:val="16"/>
              </w:rPr>
              <w:t>8,1 %</w:t>
            </w:r>
          </w:p>
        </w:tc>
      </w:tr>
      <w:tr w:rsidR="00855697" w14:paraId="7B08F5DA" w14:textId="77777777">
        <w:trPr>
          <w:cantSplit/>
        </w:trPr>
        <w:tc>
          <w:tcPr>
            <w:tcW w:w="1215" w:type="dxa"/>
            <w:noWrap/>
          </w:tcPr>
          <w:p w14:paraId="17509068" w14:textId="77777777" w:rsidR="00A37447" w:rsidRDefault="00A37447">
            <w:pPr>
              <w:keepNext/>
              <w:spacing w:after="20"/>
            </w:pPr>
            <w:r>
              <w:rPr>
                <w:sz w:val="17"/>
              </w:rPr>
              <w:t>Patrimonio</w:t>
            </w:r>
          </w:p>
        </w:tc>
        <w:tc>
          <w:tcPr>
            <w:tcW w:w="1215" w:type="dxa"/>
            <w:noWrap/>
          </w:tcPr>
          <w:p w14:paraId="08C0A3FA" w14:textId="77777777" w:rsidR="00A37447" w:rsidRDefault="00A37447">
            <w:pPr>
              <w:keepNext/>
              <w:spacing w:after="20"/>
              <w:jc w:val="right"/>
            </w:pPr>
            <w:r>
              <w:rPr>
                <w:sz w:val="16"/>
              </w:rPr>
              <w:t>358</w:t>
            </w:r>
          </w:p>
        </w:tc>
        <w:tc>
          <w:tcPr>
            <w:tcW w:w="1215" w:type="dxa"/>
            <w:noWrap/>
          </w:tcPr>
          <w:p w14:paraId="615F5827" w14:textId="77777777" w:rsidR="00A37447" w:rsidRDefault="00A37447">
            <w:pPr>
              <w:keepNext/>
              <w:spacing w:after="20"/>
              <w:jc w:val="right"/>
            </w:pPr>
            <w:r>
              <w:rPr>
                <w:sz w:val="16"/>
              </w:rPr>
              <w:t>403</w:t>
            </w:r>
          </w:p>
        </w:tc>
        <w:tc>
          <w:tcPr>
            <w:tcW w:w="1215" w:type="dxa"/>
            <w:noWrap/>
          </w:tcPr>
          <w:p w14:paraId="21C5C210" w14:textId="77777777" w:rsidR="00A37447" w:rsidRDefault="00A37447">
            <w:pPr>
              <w:keepNext/>
              <w:spacing w:after="20"/>
              <w:jc w:val="right"/>
            </w:pPr>
            <w:r>
              <w:rPr>
                <w:sz w:val="16"/>
              </w:rPr>
              <w:t>394</w:t>
            </w:r>
          </w:p>
        </w:tc>
        <w:tc>
          <w:tcPr>
            <w:tcW w:w="1215" w:type="dxa"/>
            <w:noWrap/>
          </w:tcPr>
          <w:p w14:paraId="3AB296E3" w14:textId="77777777" w:rsidR="00A37447" w:rsidRDefault="00A37447">
            <w:pPr>
              <w:keepNext/>
              <w:spacing w:after="20"/>
              <w:jc w:val="right"/>
            </w:pPr>
            <w:r>
              <w:rPr>
                <w:sz w:val="16"/>
              </w:rPr>
              <w:t>400</w:t>
            </w:r>
          </w:p>
        </w:tc>
        <w:tc>
          <w:tcPr>
            <w:tcW w:w="1215" w:type="dxa"/>
            <w:noWrap/>
          </w:tcPr>
          <w:p w14:paraId="70534958" w14:textId="77777777" w:rsidR="00A37447" w:rsidRDefault="00A37447">
            <w:pPr>
              <w:keepNext/>
              <w:spacing w:after="20"/>
              <w:jc w:val="right"/>
            </w:pPr>
            <w:r>
              <w:rPr>
                <w:sz w:val="16"/>
              </w:rPr>
              <w:t>383</w:t>
            </w:r>
          </w:p>
        </w:tc>
        <w:tc>
          <w:tcPr>
            <w:tcW w:w="1215" w:type="dxa"/>
            <w:noWrap/>
          </w:tcPr>
          <w:p w14:paraId="4631AEBA" w14:textId="77777777" w:rsidR="00A37447" w:rsidRDefault="00A37447">
            <w:pPr>
              <w:keepNext/>
              <w:spacing w:after="20"/>
              <w:jc w:val="right"/>
            </w:pPr>
            <w:r>
              <w:rPr>
                <w:sz w:val="16"/>
              </w:rPr>
              <w:t>-4,1 %</w:t>
            </w:r>
          </w:p>
        </w:tc>
      </w:tr>
      <w:tr w:rsidR="00855697" w14:paraId="7A602012" w14:textId="77777777">
        <w:trPr>
          <w:cantSplit/>
        </w:trPr>
        <w:tc>
          <w:tcPr>
            <w:tcW w:w="1215" w:type="dxa"/>
          </w:tcPr>
          <w:p w14:paraId="21CC95B2" w14:textId="77777777" w:rsidR="00A37447" w:rsidRDefault="00A37447">
            <w:pPr>
              <w:keepNext/>
              <w:spacing w:after="20"/>
            </w:pPr>
            <w:r>
              <w:rPr>
                <w:sz w:val="17"/>
              </w:rPr>
              <w:t>Ingreso operacional</w:t>
            </w:r>
          </w:p>
        </w:tc>
        <w:tc>
          <w:tcPr>
            <w:tcW w:w="1215" w:type="dxa"/>
            <w:noWrap/>
          </w:tcPr>
          <w:p w14:paraId="40979DEA" w14:textId="77777777" w:rsidR="00A37447" w:rsidRDefault="00A37447">
            <w:pPr>
              <w:keepNext/>
              <w:spacing w:after="20"/>
              <w:jc w:val="right"/>
            </w:pPr>
            <w:r>
              <w:rPr>
                <w:sz w:val="16"/>
              </w:rPr>
              <w:t>744</w:t>
            </w:r>
          </w:p>
        </w:tc>
        <w:tc>
          <w:tcPr>
            <w:tcW w:w="1215" w:type="dxa"/>
            <w:noWrap/>
          </w:tcPr>
          <w:p w14:paraId="1391E218" w14:textId="77777777" w:rsidR="00A37447" w:rsidRDefault="00A37447">
            <w:pPr>
              <w:keepNext/>
              <w:spacing w:after="20"/>
              <w:jc w:val="right"/>
            </w:pPr>
            <w:r>
              <w:rPr>
                <w:sz w:val="16"/>
              </w:rPr>
              <w:t>815</w:t>
            </w:r>
          </w:p>
        </w:tc>
        <w:tc>
          <w:tcPr>
            <w:tcW w:w="1215" w:type="dxa"/>
            <w:noWrap/>
          </w:tcPr>
          <w:p w14:paraId="5E9B5C27" w14:textId="77777777" w:rsidR="00A37447" w:rsidRDefault="00A37447">
            <w:pPr>
              <w:keepNext/>
              <w:spacing w:after="20"/>
              <w:jc w:val="right"/>
            </w:pPr>
            <w:r>
              <w:rPr>
                <w:sz w:val="16"/>
              </w:rPr>
              <w:t>874</w:t>
            </w:r>
          </w:p>
        </w:tc>
        <w:tc>
          <w:tcPr>
            <w:tcW w:w="1215" w:type="dxa"/>
            <w:noWrap/>
          </w:tcPr>
          <w:p w14:paraId="092B2F2B" w14:textId="77777777" w:rsidR="00A37447" w:rsidRDefault="00A37447">
            <w:pPr>
              <w:keepNext/>
              <w:spacing w:after="20"/>
              <w:jc w:val="right"/>
            </w:pPr>
            <w:r>
              <w:rPr>
                <w:sz w:val="16"/>
              </w:rPr>
              <w:t>897</w:t>
            </w:r>
          </w:p>
        </w:tc>
        <w:tc>
          <w:tcPr>
            <w:tcW w:w="1215" w:type="dxa"/>
            <w:noWrap/>
          </w:tcPr>
          <w:p w14:paraId="58BD46C8" w14:textId="77777777" w:rsidR="00A37447" w:rsidRDefault="00A37447">
            <w:pPr>
              <w:keepNext/>
              <w:spacing w:after="20"/>
              <w:jc w:val="right"/>
            </w:pPr>
            <w:r>
              <w:rPr>
                <w:sz w:val="16"/>
              </w:rPr>
              <w:t>919</w:t>
            </w:r>
          </w:p>
        </w:tc>
        <w:tc>
          <w:tcPr>
            <w:tcW w:w="1215" w:type="dxa"/>
            <w:noWrap/>
          </w:tcPr>
          <w:p w14:paraId="70514F67" w14:textId="77777777" w:rsidR="00A37447" w:rsidRDefault="00A37447">
            <w:pPr>
              <w:keepNext/>
              <w:spacing w:after="20"/>
              <w:jc w:val="right"/>
            </w:pPr>
            <w:r>
              <w:rPr>
                <w:sz w:val="16"/>
              </w:rPr>
              <w:t>2,4 %</w:t>
            </w:r>
          </w:p>
        </w:tc>
      </w:tr>
      <w:tr w:rsidR="00855697" w14:paraId="55CB9A5F" w14:textId="77777777">
        <w:trPr>
          <w:cantSplit/>
        </w:trPr>
        <w:tc>
          <w:tcPr>
            <w:tcW w:w="1215" w:type="dxa"/>
          </w:tcPr>
          <w:p w14:paraId="54BB43E8" w14:textId="77777777" w:rsidR="00A37447" w:rsidRDefault="00A37447">
            <w:pPr>
              <w:keepNext/>
              <w:spacing w:after="20"/>
            </w:pPr>
            <w:r>
              <w:rPr>
                <w:sz w:val="17"/>
              </w:rPr>
              <w:t>Utilidad operacional</w:t>
            </w:r>
          </w:p>
        </w:tc>
        <w:tc>
          <w:tcPr>
            <w:tcW w:w="1215" w:type="dxa"/>
            <w:noWrap/>
          </w:tcPr>
          <w:p w14:paraId="2F28EE61" w14:textId="77777777" w:rsidR="00A37447" w:rsidRDefault="00A37447">
            <w:pPr>
              <w:keepNext/>
              <w:spacing w:after="20"/>
              <w:jc w:val="right"/>
            </w:pPr>
            <w:r>
              <w:rPr>
                <w:sz w:val="16"/>
              </w:rPr>
              <w:t>162</w:t>
            </w:r>
          </w:p>
        </w:tc>
        <w:tc>
          <w:tcPr>
            <w:tcW w:w="1215" w:type="dxa"/>
            <w:noWrap/>
          </w:tcPr>
          <w:p w14:paraId="504DC392" w14:textId="77777777" w:rsidR="00A37447" w:rsidRDefault="00A37447">
            <w:pPr>
              <w:keepNext/>
              <w:spacing w:after="20"/>
              <w:jc w:val="right"/>
            </w:pPr>
            <w:r>
              <w:rPr>
                <w:sz w:val="16"/>
              </w:rPr>
              <w:t>173</w:t>
            </w:r>
          </w:p>
        </w:tc>
        <w:tc>
          <w:tcPr>
            <w:tcW w:w="1215" w:type="dxa"/>
            <w:noWrap/>
          </w:tcPr>
          <w:p w14:paraId="5254AB0E" w14:textId="77777777" w:rsidR="00A37447" w:rsidRDefault="00A37447">
            <w:pPr>
              <w:keepNext/>
              <w:spacing w:after="20"/>
              <w:jc w:val="right"/>
            </w:pPr>
            <w:r>
              <w:rPr>
                <w:sz w:val="16"/>
              </w:rPr>
              <w:t>183</w:t>
            </w:r>
          </w:p>
        </w:tc>
        <w:tc>
          <w:tcPr>
            <w:tcW w:w="1215" w:type="dxa"/>
            <w:noWrap/>
          </w:tcPr>
          <w:p w14:paraId="15330AF6" w14:textId="77777777" w:rsidR="00A37447" w:rsidRDefault="00A37447">
            <w:pPr>
              <w:keepNext/>
              <w:spacing w:after="20"/>
              <w:jc w:val="right"/>
            </w:pPr>
            <w:r>
              <w:rPr>
                <w:sz w:val="16"/>
              </w:rPr>
              <w:t>193</w:t>
            </w:r>
          </w:p>
        </w:tc>
        <w:tc>
          <w:tcPr>
            <w:tcW w:w="1215" w:type="dxa"/>
            <w:noWrap/>
          </w:tcPr>
          <w:p w14:paraId="62382ECC" w14:textId="77777777" w:rsidR="00A37447" w:rsidRDefault="00A37447">
            <w:pPr>
              <w:keepNext/>
              <w:spacing w:after="20"/>
              <w:jc w:val="right"/>
            </w:pPr>
            <w:r>
              <w:rPr>
                <w:sz w:val="16"/>
              </w:rPr>
              <w:t>194</w:t>
            </w:r>
          </w:p>
        </w:tc>
        <w:tc>
          <w:tcPr>
            <w:tcW w:w="1215" w:type="dxa"/>
            <w:noWrap/>
          </w:tcPr>
          <w:p w14:paraId="20682120" w14:textId="77777777" w:rsidR="00A37447" w:rsidRDefault="00A37447">
            <w:pPr>
              <w:keepNext/>
              <w:spacing w:after="20"/>
              <w:jc w:val="right"/>
            </w:pPr>
            <w:r>
              <w:rPr>
                <w:sz w:val="16"/>
              </w:rPr>
              <w:t>0,6 %</w:t>
            </w:r>
          </w:p>
        </w:tc>
      </w:tr>
      <w:tr w:rsidR="00855697" w14:paraId="1B7C7639" w14:textId="77777777">
        <w:trPr>
          <w:cantSplit/>
        </w:trPr>
        <w:tc>
          <w:tcPr>
            <w:tcW w:w="1215" w:type="dxa"/>
          </w:tcPr>
          <w:p w14:paraId="7EEE0EDE" w14:textId="77777777" w:rsidR="00A37447" w:rsidRDefault="00A37447">
            <w:pPr>
              <w:keepNext/>
              <w:spacing w:after="20"/>
            </w:pPr>
            <w:r>
              <w:rPr>
                <w:sz w:val="17"/>
              </w:rPr>
              <w:t>Utilidad neta</w:t>
            </w:r>
          </w:p>
        </w:tc>
        <w:tc>
          <w:tcPr>
            <w:tcW w:w="1215" w:type="dxa"/>
            <w:noWrap/>
          </w:tcPr>
          <w:p w14:paraId="0DBD4B1F" w14:textId="77777777" w:rsidR="00A37447" w:rsidRDefault="00A37447">
            <w:pPr>
              <w:keepNext/>
              <w:spacing w:after="20"/>
              <w:jc w:val="right"/>
            </w:pPr>
            <w:r>
              <w:rPr>
                <w:sz w:val="16"/>
              </w:rPr>
              <w:t>90</w:t>
            </w:r>
          </w:p>
        </w:tc>
        <w:tc>
          <w:tcPr>
            <w:tcW w:w="1215" w:type="dxa"/>
            <w:noWrap/>
          </w:tcPr>
          <w:p w14:paraId="31F78A1A" w14:textId="77777777" w:rsidR="00A37447" w:rsidRDefault="00A37447">
            <w:pPr>
              <w:keepNext/>
              <w:spacing w:after="20"/>
              <w:jc w:val="right"/>
            </w:pPr>
            <w:r>
              <w:rPr>
                <w:sz w:val="16"/>
              </w:rPr>
              <w:t>102</w:t>
            </w:r>
          </w:p>
        </w:tc>
        <w:tc>
          <w:tcPr>
            <w:tcW w:w="1215" w:type="dxa"/>
            <w:noWrap/>
          </w:tcPr>
          <w:p w14:paraId="0079D6E0" w14:textId="77777777" w:rsidR="00A37447" w:rsidRDefault="00A37447">
            <w:pPr>
              <w:keepNext/>
              <w:spacing w:after="20"/>
              <w:jc w:val="right"/>
            </w:pPr>
            <w:r>
              <w:rPr>
                <w:sz w:val="16"/>
              </w:rPr>
              <w:t>102</w:t>
            </w:r>
          </w:p>
        </w:tc>
        <w:tc>
          <w:tcPr>
            <w:tcW w:w="1215" w:type="dxa"/>
            <w:noWrap/>
          </w:tcPr>
          <w:p w14:paraId="5D34F12B" w14:textId="77777777" w:rsidR="00A37447" w:rsidRDefault="00A37447">
            <w:pPr>
              <w:keepNext/>
              <w:spacing w:after="20"/>
              <w:jc w:val="right"/>
            </w:pPr>
            <w:r>
              <w:rPr>
                <w:sz w:val="16"/>
              </w:rPr>
              <w:t>107</w:t>
            </w:r>
          </w:p>
        </w:tc>
        <w:tc>
          <w:tcPr>
            <w:tcW w:w="1215" w:type="dxa"/>
            <w:noWrap/>
          </w:tcPr>
          <w:p w14:paraId="5314D563" w14:textId="77777777" w:rsidR="00A37447" w:rsidRDefault="00A37447">
            <w:pPr>
              <w:keepNext/>
              <w:spacing w:after="20"/>
              <w:jc w:val="right"/>
            </w:pPr>
            <w:r>
              <w:rPr>
                <w:sz w:val="16"/>
              </w:rPr>
              <w:t>108</w:t>
            </w:r>
          </w:p>
        </w:tc>
        <w:tc>
          <w:tcPr>
            <w:tcW w:w="1215" w:type="dxa"/>
            <w:noWrap/>
          </w:tcPr>
          <w:p w14:paraId="614B294E" w14:textId="77777777" w:rsidR="00A37447" w:rsidRDefault="00A37447">
            <w:pPr>
              <w:keepNext/>
              <w:spacing w:after="20"/>
              <w:jc w:val="right"/>
            </w:pPr>
            <w:r>
              <w:rPr>
                <w:sz w:val="16"/>
              </w:rPr>
              <w:t>1,3 %</w:t>
            </w:r>
          </w:p>
        </w:tc>
      </w:tr>
      <w:tr w:rsidR="00855697" w14:paraId="40DC08B9" w14:textId="77777777">
        <w:trPr>
          <w:cantSplit/>
        </w:trPr>
        <w:tc>
          <w:tcPr>
            <w:tcW w:w="1215" w:type="dxa"/>
            <w:noWrap/>
          </w:tcPr>
          <w:p w14:paraId="10D016DE" w14:textId="528A2454" w:rsidR="00A37447" w:rsidRDefault="00000000">
            <w:pPr>
              <w:keepNext/>
              <w:spacing w:after="20"/>
            </w:pPr>
            <w:r>
              <w:rPr>
                <w:sz w:val="17"/>
              </w:rPr>
              <w:t>Ebitda</w:t>
            </w:r>
          </w:p>
        </w:tc>
        <w:tc>
          <w:tcPr>
            <w:tcW w:w="1215" w:type="dxa"/>
            <w:noWrap/>
          </w:tcPr>
          <w:p w14:paraId="1A09F1EE" w14:textId="77777777" w:rsidR="00A37447" w:rsidRDefault="00A37447">
            <w:pPr>
              <w:keepNext/>
              <w:spacing w:after="20"/>
              <w:jc w:val="right"/>
            </w:pPr>
            <w:r>
              <w:rPr>
                <w:sz w:val="16"/>
              </w:rPr>
              <w:t>195</w:t>
            </w:r>
          </w:p>
        </w:tc>
        <w:tc>
          <w:tcPr>
            <w:tcW w:w="1215" w:type="dxa"/>
            <w:noWrap/>
          </w:tcPr>
          <w:p w14:paraId="0A93028B" w14:textId="77777777" w:rsidR="00A37447" w:rsidRDefault="00A37447">
            <w:pPr>
              <w:keepNext/>
              <w:spacing w:after="20"/>
              <w:jc w:val="right"/>
            </w:pPr>
            <w:r>
              <w:rPr>
                <w:sz w:val="16"/>
              </w:rPr>
              <w:t>225</w:t>
            </w:r>
          </w:p>
        </w:tc>
        <w:tc>
          <w:tcPr>
            <w:tcW w:w="1215" w:type="dxa"/>
            <w:noWrap/>
          </w:tcPr>
          <w:p w14:paraId="44D5421F" w14:textId="77777777" w:rsidR="00A37447" w:rsidRDefault="00A37447">
            <w:pPr>
              <w:keepNext/>
              <w:spacing w:after="20"/>
              <w:jc w:val="right"/>
            </w:pPr>
            <w:r>
              <w:rPr>
                <w:sz w:val="16"/>
              </w:rPr>
              <w:t>230</w:t>
            </w:r>
          </w:p>
        </w:tc>
        <w:tc>
          <w:tcPr>
            <w:tcW w:w="1215" w:type="dxa"/>
            <w:noWrap/>
          </w:tcPr>
          <w:p w14:paraId="44567EDF" w14:textId="77777777" w:rsidR="00A37447" w:rsidRDefault="00A37447">
            <w:pPr>
              <w:keepNext/>
              <w:spacing w:after="20"/>
              <w:jc w:val="right"/>
            </w:pPr>
            <w:r>
              <w:rPr>
                <w:sz w:val="16"/>
              </w:rPr>
              <w:t>246</w:t>
            </w:r>
          </w:p>
        </w:tc>
        <w:tc>
          <w:tcPr>
            <w:tcW w:w="1215" w:type="dxa"/>
            <w:noWrap/>
          </w:tcPr>
          <w:p w14:paraId="454E0229" w14:textId="77777777" w:rsidR="00A37447" w:rsidRDefault="00A37447">
            <w:pPr>
              <w:keepNext/>
              <w:spacing w:after="20"/>
              <w:jc w:val="right"/>
            </w:pPr>
            <w:r>
              <w:rPr>
                <w:sz w:val="16"/>
              </w:rPr>
              <w:t>254</w:t>
            </w:r>
          </w:p>
        </w:tc>
        <w:tc>
          <w:tcPr>
            <w:tcW w:w="1215" w:type="dxa"/>
            <w:noWrap/>
          </w:tcPr>
          <w:p w14:paraId="5CB5ADDE" w14:textId="77777777" w:rsidR="00A37447" w:rsidRDefault="00A37447">
            <w:pPr>
              <w:keepNext/>
              <w:spacing w:after="20"/>
              <w:jc w:val="right"/>
            </w:pPr>
            <w:r>
              <w:rPr>
                <w:sz w:val="16"/>
              </w:rPr>
              <w:t>3,3 %</w:t>
            </w:r>
          </w:p>
        </w:tc>
      </w:tr>
    </w:tbl>
    <w:p w14:paraId="54476A56" w14:textId="77777777" w:rsidR="00A37447" w:rsidRPr="0036111A" w:rsidRDefault="00A37447">
      <w:pPr>
        <w:keepLines/>
        <w:spacing w:before="40"/>
        <w:jc w:val="right"/>
        <w:rPr>
          <w:lang w:val="es-PE"/>
        </w:rPr>
      </w:pPr>
      <w:r w:rsidRPr="0036111A">
        <w:rPr>
          <w:b/>
          <w:color w:val="404040"/>
          <w:sz w:val="15"/>
          <w:lang w:val="es-PE"/>
        </w:rPr>
        <w:t>FUENTE: Empresas del sector, APOYO Consultoría</w:t>
      </w:r>
    </w:p>
    <w:p w14:paraId="52C749DF" w14:textId="18A08D93" w:rsidR="00A37447" w:rsidRDefault="00A37447">
      <w:pPr>
        <w:spacing w:before="160"/>
        <w:jc w:val="center"/>
      </w:pPr>
      <w:r>
        <w:rPr>
          <w:noProof/>
        </w:rPr>
        <w:drawing>
          <wp:inline distT="0" distB="0" distL="0" distR="0" wp14:anchorId="1D0396FC" wp14:editId="2DC3F699">
            <wp:extent cx="5400000" cy="3405195"/>
            <wp:effectExtent l="0" t="0" r="0" b="0"/>
            <wp:docPr id="2110891822" name="Imagen 211089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71.png"/>
                    <pic:cNvPicPr/>
                  </pic:nvPicPr>
                  <pic:blipFill>
                    <a:blip r:embed="rId84"/>
                    <a:stretch>
                      <a:fillRect/>
                    </a:stretch>
                  </pic:blipFill>
                  <pic:spPr>
                    <a:xfrm>
                      <a:off x="0" y="0"/>
                      <a:ext cx="5400000" cy="3405195"/>
                    </a:xfrm>
                    <a:prstGeom prst="rect">
                      <a:avLst/>
                    </a:prstGeom>
                  </pic:spPr>
                </pic:pic>
              </a:graphicData>
            </a:graphic>
          </wp:inline>
        </w:drawing>
      </w:r>
    </w:p>
    <w:p w14:paraId="6BA957A7" w14:textId="6263F8D2" w:rsidR="00C75A27" w:rsidRDefault="00D4093E">
      <w:pPr>
        <w:spacing w:before="160"/>
        <w:jc w:val="center"/>
      </w:pPr>
      <w:r>
        <w:rPr>
          <w:noProof/>
        </w:rPr>
        <w:lastRenderedPageBreak/>
        <w:drawing>
          <wp:inline distT="0" distB="0" distL="0" distR="0" wp14:anchorId="51D81623" wp14:editId="69D60C49">
            <wp:extent cx="5400000" cy="3405195"/>
            <wp:effectExtent l="0" t="0" r="0" b="0"/>
            <wp:docPr id="2110891823" name="Imagen 211089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72.png"/>
                    <pic:cNvPicPr/>
                  </pic:nvPicPr>
                  <pic:blipFill>
                    <a:blip r:embed="rId85"/>
                    <a:stretch>
                      <a:fillRect/>
                    </a:stretch>
                  </pic:blipFill>
                  <pic:spPr>
                    <a:xfrm>
                      <a:off x="0" y="0"/>
                      <a:ext cx="5400000" cy="3405195"/>
                    </a:xfrm>
                    <a:prstGeom prst="rect">
                      <a:avLst/>
                    </a:prstGeom>
                  </pic:spPr>
                </pic:pic>
              </a:graphicData>
            </a:graphic>
          </wp:inline>
        </w:drawing>
      </w:r>
    </w:p>
    <w:p w14:paraId="4269C7AE" w14:textId="77777777" w:rsidR="00A37447" w:rsidRPr="0036111A" w:rsidRDefault="00A37447">
      <w:pPr>
        <w:pStyle w:val="Ttulo4"/>
        <w:pageBreakBefore/>
        <w:rPr>
          <w:lang w:val="es-PE"/>
        </w:rPr>
      </w:pPr>
      <w:bookmarkStart w:id="32" w:name="_Toc235083042"/>
      <w:r w:rsidRPr="0036111A">
        <w:rPr>
          <w:lang w:val="es-PE"/>
        </w:rPr>
        <w:lastRenderedPageBreak/>
        <w:t>3.2.9.3. Gases del Pacífico</w:t>
      </w:r>
      <w:bookmarkEnd w:id="32"/>
    </w:p>
    <w:p w14:paraId="6F1E259D" w14:textId="77777777" w:rsidR="00A37447" w:rsidRPr="0036111A" w:rsidRDefault="00A37447">
      <w:pPr>
        <w:keepNext/>
        <w:keepLines/>
        <w:spacing w:before="160" w:after="20"/>
        <w:rPr>
          <w:lang w:val="es-PE"/>
        </w:rPr>
      </w:pPr>
      <w:r w:rsidRPr="0036111A">
        <w:rPr>
          <w:b/>
          <w:color w:val="00838F"/>
          <w:sz w:val="20"/>
          <w:lang w:val="es-PE"/>
        </w:rPr>
        <w:t>GASES DEL PACÍFICO: CIFRAS FINANCIERAS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216"/>
        <w:gridCol w:w="1215"/>
        <w:gridCol w:w="1215"/>
        <w:gridCol w:w="1215"/>
        <w:gridCol w:w="1215"/>
        <w:gridCol w:w="1215"/>
        <w:gridCol w:w="1215"/>
      </w:tblGrid>
      <w:tr w:rsidR="00855697" w14:paraId="449E449C" w14:textId="77777777">
        <w:trPr>
          <w:cantSplit/>
          <w:tblHeader/>
        </w:trPr>
        <w:tc>
          <w:tcPr>
            <w:tcW w:w="1215" w:type="dxa"/>
            <w:shd w:val="clear" w:color="auto" w:fill="1F3864"/>
          </w:tcPr>
          <w:p w14:paraId="7295FC35" w14:textId="77777777" w:rsidR="00A37447" w:rsidRDefault="00A37447">
            <w:pPr>
              <w:keepNext/>
            </w:pPr>
            <w:r>
              <w:rPr>
                <w:b/>
                <w:color w:val="FFFFFF"/>
                <w:sz w:val="17"/>
              </w:rPr>
              <w:t>US$ millones</w:t>
            </w:r>
          </w:p>
        </w:tc>
        <w:tc>
          <w:tcPr>
            <w:tcW w:w="1215" w:type="dxa"/>
            <w:shd w:val="clear" w:color="auto" w:fill="1F3864"/>
            <w:noWrap/>
          </w:tcPr>
          <w:p w14:paraId="7EF966F9" w14:textId="77777777" w:rsidR="00A37447" w:rsidRDefault="00A37447">
            <w:pPr>
              <w:keepNext/>
              <w:jc w:val="right"/>
            </w:pPr>
            <w:r>
              <w:rPr>
                <w:b/>
                <w:color w:val="FFFFFF"/>
                <w:sz w:val="17"/>
              </w:rPr>
              <w:t>2021</w:t>
            </w:r>
          </w:p>
        </w:tc>
        <w:tc>
          <w:tcPr>
            <w:tcW w:w="1215" w:type="dxa"/>
            <w:shd w:val="clear" w:color="auto" w:fill="1F3864"/>
            <w:noWrap/>
          </w:tcPr>
          <w:p w14:paraId="40F06A0C" w14:textId="77777777" w:rsidR="00A37447" w:rsidRDefault="00A37447">
            <w:pPr>
              <w:keepNext/>
              <w:jc w:val="right"/>
            </w:pPr>
            <w:r>
              <w:rPr>
                <w:b/>
                <w:color w:val="FFFFFF"/>
                <w:sz w:val="17"/>
              </w:rPr>
              <w:t>2022</w:t>
            </w:r>
          </w:p>
        </w:tc>
        <w:tc>
          <w:tcPr>
            <w:tcW w:w="1215" w:type="dxa"/>
            <w:shd w:val="clear" w:color="auto" w:fill="1F3864"/>
            <w:noWrap/>
          </w:tcPr>
          <w:p w14:paraId="6221377B" w14:textId="77777777" w:rsidR="00A37447" w:rsidRDefault="00A37447">
            <w:pPr>
              <w:keepNext/>
              <w:jc w:val="right"/>
            </w:pPr>
            <w:r>
              <w:rPr>
                <w:b/>
                <w:color w:val="FFFFFF"/>
                <w:sz w:val="17"/>
              </w:rPr>
              <w:t>2023</w:t>
            </w:r>
          </w:p>
        </w:tc>
        <w:tc>
          <w:tcPr>
            <w:tcW w:w="1215" w:type="dxa"/>
            <w:shd w:val="clear" w:color="auto" w:fill="1F3864"/>
            <w:noWrap/>
          </w:tcPr>
          <w:p w14:paraId="2F5A63D1" w14:textId="77777777" w:rsidR="00A37447" w:rsidRDefault="00A37447">
            <w:pPr>
              <w:keepNext/>
              <w:jc w:val="right"/>
            </w:pPr>
            <w:r>
              <w:rPr>
                <w:b/>
                <w:color w:val="FFFFFF"/>
                <w:sz w:val="17"/>
              </w:rPr>
              <w:t>2024</w:t>
            </w:r>
          </w:p>
        </w:tc>
        <w:tc>
          <w:tcPr>
            <w:tcW w:w="1215" w:type="dxa"/>
            <w:shd w:val="clear" w:color="auto" w:fill="1F3864"/>
            <w:noWrap/>
          </w:tcPr>
          <w:p w14:paraId="39B4259D" w14:textId="77777777" w:rsidR="00A37447" w:rsidRDefault="00A37447">
            <w:pPr>
              <w:keepNext/>
              <w:jc w:val="right"/>
            </w:pPr>
            <w:r>
              <w:rPr>
                <w:b/>
                <w:color w:val="FFFFFF"/>
                <w:sz w:val="17"/>
              </w:rPr>
              <w:t>2025</w:t>
            </w:r>
          </w:p>
        </w:tc>
        <w:tc>
          <w:tcPr>
            <w:tcW w:w="1215" w:type="dxa"/>
            <w:shd w:val="clear" w:color="auto" w:fill="1F3864"/>
          </w:tcPr>
          <w:p w14:paraId="4F13C5F6" w14:textId="77777777" w:rsidR="00A37447" w:rsidRDefault="00A37447">
            <w:pPr>
              <w:keepNext/>
              <w:jc w:val="right"/>
            </w:pPr>
            <w:r>
              <w:rPr>
                <w:b/>
                <w:color w:val="FFFFFF"/>
                <w:sz w:val="17"/>
              </w:rPr>
              <w:t>Var. % 2025 vs 2024</w:t>
            </w:r>
          </w:p>
        </w:tc>
      </w:tr>
      <w:tr w:rsidR="00855697" w14:paraId="1684CF77" w14:textId="77777777">
        <w:trPr>
          <w:cantSplit/>
        </w:trPr>
        <w:tc>
          <w:tcPr>
            <w:tcW w:w="1215" w:type="dxa"/>
            <w:noWrap/>
          </w:tcPr>
          <w:p w14:paraId="06BAF123" w14:textId="77777777" w:rsidR="00A37447" w:rsidRDefault="00A37447">
            <w:pPr>
              <w:keepNext/>
              <w:spacing w:after="20"/>
            </w:pPr>
            <w:r>
              <w:rPr>
                <w:sz w:val="17"/>
              </w:rPr>
              <w:t>Activo</w:t>
            </w:r>
          </w:p>
        </w:tc>
        <w:tc>
          <w:tcPr>
            <w:tcW w:w="1215" w:type="dxa"/>
            <w:noWrap/>
          </w:tcPr>
          <w:p w14:paraId="4CC184BC" w14:textId="77777777" w:rsidR="00A37447" w:rsidRDefault="00A37447">
            <w:pPr>
              <w:keepNext/>
              <w:spacing w:after="20"/>
              <w:jc w:val="right"/>
            </w:pPr>
            <w:r>
              <w:rPr>
                <w:sz w:val="16"/>
              </w:rPr>
              <w:t>511</w:t>
            </w:r>
          </w:p>
        </w:tc>
        <w:tc>
          <w:tcPr>
            <w:tcW w:w="1215" w:type="dxa"/>
            <w:noWrap/>
          </w:tcPr>
          <w:p w14:paraId="370E02E7" w14:textId="77777777" w:rsidR="00A37447" w:rsidRDefault="00A37447">
            <w:pPr>
              <w:keepNext/>
              <w:spacing w:after="20"/>
              <w:jc w:val="right"/>
            </w:pPr>
            <w:r>
              <w:rPr>
                <w:sz w:val="16"/>
              </w:rPr>
              <w:t>528</w:t>
            </w:r>
          </w:p>
        </w:tc>
        <w:tc>
          <w:tcPr>
            <w:tcW w:w="1215" w:type="dxa"/>
            <w:noWrap/>
          </w:tcPr>
          <w:p w14:paraId="2F923342" w14:textId="77777777" w:rsidR="00A37447" w:rsidRDefault="00A37447">
            <w:pPr>
              <w:keepNext/>
              <w:spacing w:after="20"/>
              <w:jc w:val="right"/>
            </w:pPr>
            <w:r>
              <w:rPr>
                <w:sz w:val="16"/>
              </w:rPr>
              <w:t>584</w:t>
            </w:r>
          </w:p>
        </w:tc>
        <w:tc>
          <w:tcPr>
            <w:tcW w:w="1215" w:type="dxa"/>
            <w:noWrap/>
          </w:tcPr>
          <w:p w14:paraId="16C52E91" w14:textId="77777777" w:rsidR="00A37447" w:rsidRDefault="00A37447">
            <w:pPr>
              <w:keepNext/>
              <w:spacing w:after="20"/>
              <w:jc w:val="right"/>
            </w:pPr>
            <w:r>
              <w:rPr>
                <w:sz w:val="16"/>
              </w:rPr>
              <w:t>619</w:t>
            </w:r>
          </w:p>
        </w:tc>
        <w:tc>
          <w:tcPr>
            <w:tcW w:w="1215" w:type="dxa"/>
            <w:noWrap/>
          </w:tcPr>
          <w:p w14:paraId="25981E02" w14:textId="77777777" w:rsidR="00A37447" w:rsidRDefault="00A37447">
            <w:pPr>
              <w:keepNext/>
              <w:spacing w:after="20"/>
              <w:jc w:val="right"/>
            </w:pPr>
            <w:r>
              <w:rPr>
                <w:sz w:val="16"/>
              </w:rPr>
              <w:t>626</w:t>
            </w:r>
          </w:p>
        </w:tc>
        <w:tc>
          <w:tcPr>
            <w:tcW w:w="1215" w:type="dxa"/>
            <w:noWrap/>
          </w:tcPr>
          <w:p w14:paraId="57C40872" w14:textId="77777777" w:rsidR="00A37447" w:rsidRDefault="00A37447">
            <w:pPr>
              <w:keepNext/>
              <w:spacing w:after="20"/>
              <w:jc w:val="right"/>
            </w:pPr>
            <w:r>
              <w:rPr>
                <w:sz w:val="16"/>
              </w:rPr>
              <w:t>1,2 %</w:t>
            </w:r>
          </w:p>
        </w:tc>
      </w:tr>
      <w:tr w:rsidR="00855697" w14:paraId="3269BE7D" w14:textId="77777777">
        <w:trPr>
          <w:cantSplit/>
        </w:trPr>
        <w:tc>
          <w:tcPr>
            <w:tcW w:w="1215" w:type="dxa"/>
            <w:noWrap/>
          </w:tcPr>
          <w:p w14:paraId="0017B7BD" w14:textId="77777777" w:rsidR="00A37447" w:rsidRDefault="00A37447">
            <w:pPr>
              <w:keepNext/>
              <w:spacing w:after="20"/>
            </w:pPr>
            <w:r>
              <w:rPr>
                <w:sz w:val="17"/>
              </w:rPr>
              <w:t>Pasivo</w:t>
            </w:r>
          </w:p>
        </w:tc>
        <w:tc>
          <w:tcPr>
            <w:tcW w:w="1215" w:type="dxa"/>
            <w:noWrap/>
          </w:tcPr>
          <w:p w14:paraId="28F08748" w14:textId="77777777" w:rsidR="00A37447" w:rsidRDefault="00A37447">
            <w:pPr>
              <w:keepNext/>
              <w:spacing w:after="20"/>
              <w:jc w:val="right"/>
            </w:pPr>
            <w:r>
              <w:rPr>
                <w:sz w:val="16"/>
              </w:rPr>
              <w:t>403</w:t>
            </w:r>
          </w:p>
        </w:tc>
        <w:tc>
          <w:tcPr>
            <w:tcW w:w="1215" w:type="dxa"/>
            <w:noWrap/>
          </w:tcPr>
          <w:p w14:paraId="2E82A2C9" w14:textId="77777777" w:rsidR="00A37447" w:rsidRDefault="00A37447">
            <w:pPr>
              <w:keepNext/>
              <w:spacing w:after="20"/>
              <w:jc w:val="right"/>
            </w:pPr>
            <w:r>
              <w:rPr>
                <w:sz w:val="16"/>
              </w:rPr>
              <w:t>426</w:t>
            </w:r>
          </w:p>
        </w:tc>
        <w:tc>
          <w:tcPr>
            <w:tcW w:w="1215" w:type="dxa"/>
            <w:noWrap/>
          </w:tcPr>
          <w:p w14:paraId="64ABC106" w14:textId="77777777" w:rsidR="00A37447" w:rsidRDefault="00A37447">
            <w:pPr>
              <w:keepNext/>
              <w:spacing w:after="20"/>
              <w:jc w:val="right"/>
            </w:pPr>
            <w:r>
              <w:rPr>
                <w:sz w:val="16"/>
              </w:rPr>
              <w:t>472</w:t>
            </w:r>
          </w:p>
        </w:tc>
        <w:tc>
          <w:tcPr>
            <w:tcW w:w="1215" w:type="dxa"/>
            <w:noWrap/>
          </w:tcPr>
          <w:p w14:paraId="2C18F260" w14:textId="77777777" w:rsidR="00A37447" w:rsidRDefault="00A37447">
            <w:pPr>
              <w:keepNext/>
              <w:spacing w:after="20"/>
              <w:jc w:val="right"/>
            </w:pPr>
            <w:r>
              <w:rPr>
                <w:sz w:val="16"/>
              </w:rPr>
              <w:t>478</w:t>
            </w:r>
          </w:p>
        </w:tc>
        <w:tc>
          <w:tcPr>
            <w:tcW w:w="1215" w:type="dxa"/>
            <w:noWrap/>
          </w:tcPr>
          <w:p w14:paraId="541715A1" w14:textId="77777777" w:rsidR="00A37447" w:rsidRDefault="00A37447">
            <w:pPr>
              <w:keepNext/>
              <w:spacing w:after="20"/>
              <w:jc w:val="right"/>
            </w:pPr>
            <w:r>
              <w:rPr>
                <w:sz w:val="16"/>
              </w:rPr>
              <w:t>470</w:t>
            </w:r>
          </w:p>
        </w:tc>
        <w:tc>
          <w:tcPr>
            <w:tcW w:w="1215" w:type="dxa"/>
            <w:noWrap/>
          </w:tcPr>
          <w:p w14:paraId="14A5A9A4" w14:textId="77777777" w:rsidR="00A37447" w:rsidRDefault="00A37447">
            <w:pPr>
              <w:keepNext/>
              <w:spacing w:after="20"/>
              <w:jc w:val="right"/>
            </w:pPr>
            <w:r>
              <w:rPr>
                <w:sz w:val="16"/>
              </w:rPr>
              <w:t>-1,5 %</w:t>
            </w:r>
          </w:p>
        </w:tc>
      </w:tr>
      <w:tr w:rsidR="00855697" w14:paraId="37CE9B7F" w14:textId="77777777">
        <w:trPr>
          <w:cantSplit/>
        </w:trPr>
        <w:tc>
          <w:tcPr>
            <w:tcW w:w="1215" w:type="dxa"/>
            <w:noWrap/>
          </w:tcPr>
          <w:p w14:paraId="1DBD86F2" w14:textId="77777777" w:rsidR="00A37447" w:rsidRDefault="00A37447">
            <w:pPr>
              <w:keepNext/>
              <w:spacing w:after="20"/>
            </w:pPr>
            <w:r>
              <w:rPr>
                <w:sz w:val="17"/>
              </w:rPr>
              <w:t>Patrimonio</w:t>
            </w:r>
          </w:p>
        </w:tc>
        <w:tc>
          <w:tcPr>
            <w:tcW w:w="1215" w:type="dxa"/>
            <w:noWrap/>
          </w:tcPr>
          <w:p w14:paraId="0AEEBAF9" w14:textId="77777777" w:rsidR="00A37447" w:rsidRDefault="00A37447">
            <w:pPr>
              <w:keepNext/>
              <w:spacing w:after="20"/>
              <w:jc w:val="right"/>
            </w:pPr>
            <w:r>
              <w:rPr>
                <w:sz w:val="16"/>
              </w:rPr>
              <w:t>108</w:t>
            </w:r>
          </w:p>
        </w:tc>
        <w:tc>
          <w:tcPr>
            <w:tcW w:w="1215" w:type="dxa"/>
            <w:noWrap/>
          </w:tcPr>
          <w:p w14:paraId="038799C2" w14:textId="77777777" w:rsidR="00A37447" w:rsidRDefault="00A37447">
            <w:pPr>
              <w:keepNext/>
              <w:spacing w:after="20"/>
              <w:jc w:val="right"/>
            </w:pPr>
            <w:r>
              <w:rPr>
                <w:sz w:val="16"/>
              </w:rPr>
              <w:t>103</w:t>
            </w:r>
          </w:p>
        </w:tc>
        <w:tc>
          <w:tcPr>
            <w:tcW w:w="1215" w:type="dxa"/>
            <w:noWrap/>
          </w:tcPr>
          <w:p w14:paraId="04225CE8" w14:textId="77777777" w:rsidR="00A37447" w:rsidRDefault="00A37447">
            <w:pPr>
              <w:keepNext/>
              <w:spacing w:after="20"/>
              <w:jc w:val="right"/>
            </w:pPr>
            <w:r>
              <w:rPr>
                <w:sz w:val="16"/>
              </w:rPr>
              <w:t>112</w:t>
            </w:r>
          </w:p>
        </w:tc>
        <w:tc>
          <w:tcPr>
            <w:tcW w:w="1215" w:type="dxa"/>
            <w:noWrap/>
          </w:tcPr>
          <w:p w14:paraId="3552D0F3" w14:textId="77777777" w:rsidR="00A37447" w:rsidRDefault="00A37447">
            <w:pPr>
              <w:keepNext/>
              <w:spacing w:after="20"/>
              <w:jc w:val="right"/>
            </w:pPr>
            <w:r>
              <w:rPr>
                <w:sz w:val="16"/>
              </w:rPr>
              <w:t>142</w:t>
            </w:r>
          </w:p>
        </w:tc>
        <w:tc>
          <w:tcPr>
            <w:tcW w:w="1215" w:type="dxa"/>
            <w:noWrap/>
          </w:tcPr>
          <w:p w14:paraId="4526DB9C" w14:textId="77777777" w:rsidR="00A37447" w:rsidRDefault="00A37447">
            <w:pPr>
              <w:keepNext/>
              <w:spacing w:after="20"/>
              <w:jc w:val="right"/>
            </w:pPr>
            <w:r>
              <w:rPr>
                <w:sz w:val="16"/>
              </w:rPr>
              <w:t>156</w:t>
            </w:r>
          </w:p>
        </w:tc>
        <w:tc>
          <w:tcPr>
            <w:tcW w:w="1215" w:type="dxa"/>
            <w:noWrap/>
          </w:tcPr>
          <w:p w14:paraId="7EC3C7A2" w14:textId="77777777" w:rsidR="00A37447" w:rsidRDefault="00A37447">
            <w:pPr>
              <w:keepNext/>
              <w:spacing w:after="20"/>
              <w:jc w:val="right"/>
            </w:pPr>
            <w:r>
              <w:rPr>
                <w:sz w:val="16"/>
              </w:rPr>
              <w:t>10,2 %</w:t>
            </w:r>
          </w:p>
        </w:tc>
      </w:tr>
      <w:tr w:rsidR="00855697" w14:paraId="13D736AE" w14:textId="77777777">
        <w:trPr>
          <w:cantSplit/>
        </w:trPr>
        <w:tc>
          <w:tcPr>
            <w:tcW w:w="1215" w:type="dxa"/>
          </w:tcPr>
          <w:p w14:paraId="0C30248B" w14:textId="77777777" w:rsidR="00A37447" w:rsidRDefault="00A37447">
            <w:pPr>
              <w:keepNext/>
              <w:spacing w:after="20"/>
            </w:pPr>
            <w:r>
              <w:rPr>
                <w:sz w:val="17"/>
              </w:rPr>
              <w:t>Ingreso operacional</w:t>
            </w:r>
          </w:p>
        </w:tc>
        <w:tc>
          <w:tcPr>
            <w:tcW w:w="1215" w:type="dxa"/>
            <w:noWrap/>
          </w:tcPr>
          <w:p w14:paraId="2DF68DF6" w14:textId="77777777" w:rsidR="00A37447" w:rsidRDefault="00A37447">
            <w:pPr>
              <w:keepNext/>
              <w:spacing w:after="20"/>
              <w:jc w:val="right"/>
            </w:pPr>
            <w:r>
              <w:rPr>
                <w:sz w:val="16"/>
              </w:rPr>
              <w:t>96</w:t>
            </w:r>
          </w:p>
        </w:tc>
        <w:tc>
          <w:tcPr>
            <w:tcW w:w="1215" w:type="dxa"/>
            <w:noWrap/>
          </w:tcPr>
          <w:p w14:paraId="66B0E950" w14:textId="77777777" w:rsidR="00A37447" w:rsidRDefault="00A37447">
            <w:pPr>
              <w:keepNext/>
              <w:spacing w:after="20"/>
              <w:jc w:val="right"/>
            </w:pPr>
            <w:r>
              <w:rPr>
                <w:sz w:val="16"/>
              </w:rPr>
              <w:t>86</w:t>
            </w:r>
          </w:p>
        </w:tc>
        <w:tc>
          <w:tcPr>
            <w:tcW w:w="1215" w:type="dxa"/>
            <w:noWrap/>
          </w:tcPr>
          <w:p w14:paraId="2BF37ED3" w14:textId="77777777" w:rsidR="00A37447" w:rsidRDefault="00A37447">
            <w:pPr>
              <w:keepNext/>
              <w:spacing w:after="20"/>
              <w:jc w:val="right"/>
            </w:pPr>
            <w:r>
              <w:rPr>
                <w:sz w:val="16"/>
              </w:rPr>
              <w:t>115</w:t>
            </w:r>
          </w:p>
        </w:tc>
        <w:tc>
          <w:tcPr>
            <w:tcW w:w="1215" w:type="dxa"/>
            <w:noWrap/>
          </w:tcPr>
          <w:p w14:paraId="3755398C" w14:textId="77777777" w:rsidR="00A37447" w:rsidRDefault="00A37447">
            <w:pPr>
              <w:keepNext/>
              <w:spacing w:after="20"/>
              <w:jc w:val="right"/>
            </w:pPr>
            <w:r>
              <w:rPr>
                <w:sz w:val="16"/>
              </w:rPr>
              <w:t>135</w:t>
            </w:r>
          </w:p>
        </w:tc>
        <w:tc>
          <w:tcPr>
            <w:tcW w:w="1215" w:type="dxa"/>
            <w:noWrap/>
          </w:tcPr>
          <w:p w14:paraId="5B8D81FB" w14:textId="77777777" w:rsidR="00A37447" w:rsidRDefault="00A37447">
            <w:pPr>
              <w:keepNext/>
              <w:spacing w:after="20"/>
              <w:jc w:val="right"/>
            </w:pPr>
            <w:r>
              <w:rPr>
                <w:sz w:val="16"/>
              </w:rPr>
              <w:t>78</w:t>
            </w:r>
          </w:p>
        </w:tc>
        <w:tc>
          <w:tcPr>
            <w:tcW w:w="1215" w:type="dxa"/>
            <w:noWrap/>
          </w:tcPr>
          <w:p w14:paraId="5EC05705" w14:textId="77777777" w:rsidR="00A37447" w:rsidRDefault="00A37447">
            <w:pPr>
              <w:keepNext/>
              <w:spacing w:after="20"/>
              <w:jc w:val="right"/>
            </w:pPr>
            <w:r>
              <w:rPr>
                <w:sz w:val="16"/>
              </w:rPr>
              <w:t>-42,6 %</w:t>
            </w:r>
          </w:p>
        </w:tc>
      </w:tr>
      <w:tr w:rsidR="00855697" w14:paraId="3EF20632" w14:textId="77777777">
        <w:trPr>
          <w:cantSplit/>
        </w:trPr>
        <w:tc>
          <w:tcPr>
            <w:tcW w:w="1215" w:type="dxa"/>
          </w:tcPr>
          <w:p w14:paraId="42597F36" w14:textId="77777777" w:rsidR="00A37447" w:rsidRDefault="00A37447">
            <w:pPr>
              <w:keepNext/>
              <w:spacing w:after="20"/>
            </w:pPr>
            <w:r>
              <w:rPr>
                <w:sz w:val="17"/>
              </w:rPr>
              <w:t>Utilidad operacional</w:t>
            </w:r>
          </w:p>
        </w:tc>
        <w:tc>
          <w:tcPr>
            <w:tcW w:w="1215" w:type="dxa"/>
            <w:noWrap/>
          </w:tcPr>
          <w:p w14:paraId="7E7217D3" w14:textId="77777777" w:rsidR="00A37447" w:rsidRDefault="00A37447">
            <w:pPr>
              <w:keepNext/>
              <w:spacing w:after="20"/>
              <w:jc w:val="right"/>
            </w:pPr>
            <w:r>
              <w:rPr>
                <w:sz w:val="16"/>
              </w:rPr>
              <w:t>12</w:t>
            </w:r>
          </w:p>
        </w:tc>
        <w:tc>
          <w:tcPr>
            <w:tcW w:w="1215" w:type="dxa"/>
            <w:noWrap/>
          </w:tcPr>
          <w:p w14:paraId="7A08F85A" w14:textId="77777777" w:rsidR="00A37447" w:rsidRDefault="00A37447">
            <w:pPr>
              <w:keepNext/>
              <w:spacing w:after="20"/>
              <w:jc w:val="right"/>
            </w:pPr>
            <w:r>
              <w:rPr>
                <w:sz w:val="16"/>
              </w:rPr>
              <w:t>3</w:t>
            </w:r>
          </w:p>
        </w:tc>
        <w:tc>
          <w:tcPr>
            <w:tcW w:w="1215" w:type="dxa"/>
            <w:noWrap/>
          </w:tcPr>
          <w:p w14:paraId="452C9AE4" w14:textId="77777777" w:rsidR="00A37447" w:rsidRDefault="00A37447">
            <w:pPr>
              <w:keepNext/>
              <w:spacing w:after="20"/>
              <w:jc w:val="right"/>
            </w:pPr>
            <w:r>
              <w:rPr>
                <w:sz w:val="16"/>
              </w:rPr>
              <w:t>17</w:t>
            </w:r>
          </w:p>
        </w:tc>
        <w:tc>
          <w:tcPr>
            <w:tcW w:w="1215" w:type="dxa"/>
            <w:noWrap/>
          </w:tcPr>
          <w:p w14:paraId="5B3F02F4" w14:textId="77777777" w:rsidR="00A37447" w:rsidRDefault="00A37447">
            <w:pPr>
              <w:keepNext/>
              <w:spacing w:after="20"/>
              <w:jc w:val="right"/>
            </w:pPr>
            <w:r>
              <w:rPr>
                <w:sz w:val="16"/>
              </w:rPr>
              <w:t>22</w:t>
            </w:r>
          </w:p>
        </w:tc>
        <w:tc>
          <w:tcPr>
            <w:tcW w:w="1215" w:type="dxa"/>
            <w:noWrap/>
          </w:tcPr>
          <w:p w14:paraId="1B613A96" w14:textId="77777777" w:rsidR="00A37447" w:rsidRDefault="00A37447">
            <w:pPr>
              <w:keepNext/>
              <w:spacing w:after="20"/>
              <w:jc w:val="right"/>
            </w:pPr>
            <w:r>
              <w:rPr>
                <w:sz w:val="16"/>
              </w:rPr>
              <w:t>18</w:t>
            </w:r>
          </w:p>
        </w:tc>
        <w:tc>
          <w:tcPr>
            <w:tcW w:w="1215" w:type="dxa"/>
            <w:noWrap/>
          </w:tcPr>
          <w:p w14:paraId="7C114E33" w14:textId="77777777" w:rsidR="00A37447" w:rsidRDefault="00A37447">
            <w:pPr>
              <w:keepNext/>
              <w:spacing w:after="20"/>
              <w:jc w:val="right"/>
            </w:pPr>
            <w:r>
              <w:rPr>
                <w:sz w:val="16"/>
              </w:rPr>
              <w:t>-15,2 %</w:t>
            </w:r>
          </w:p>
        </w:tc>
      </w:tr>
      <w:tr w:rsidR="00855697" w14:paraId="2E882848" w14:textId="77777777">
        <w:trPr>
          <w:cantSplit/>
        </w:trPr>
        <w:tc>
          <w:tcPr>
            <w:tcW w:w="1215" w:type="dxa"/>
          </w:tcPr>
          <w:p w14:paraId="65E475D1" w14:textId="77777777" w:rsidR="00A37447" w:rsidRDefault="00A37447">
            <w:pPr>
              <w:keepNext/>
              <w:spacing w:after="20"/>
            </w:pPr>
            <w:r>
              <w:rPr>
                <w:sz w:val="17"/>
              </w:rPr>
              <w:t>Utilidad neta</w:t>
            </w:r>
          </w:p>
        </w:tc>
        <w:tc>
          <w:tcPr>
            <w:tcW w:w="1215" w:type="dxa"/>
            <w:noWrap/>
          </w:tcPr>
          <w:p w14:paraId="0888C1F9" w14:textId="77777777" w:rsidR="00A37447" w:rsidRDefault="00A37447">
            <w:pPr>
              <w:keepNext/>
              <w:spacing w:after="20"/>
              <w:jc w:val="right"/>
            </w:pPr>
            <w:r>
              <w:rPr>
                <w:sz w:val="16"/>
              </w:rPr>
              <w:t>3</w:t>
            </w:r>
          </w:p>
        </w:tc>
        <w:tc>
          <w:tcPr>
            <w:tcW w:w="1215" w:type="dxa"/>
            <w:noWrap/>
          </w:tcPr>
          <w:p w14:paraId="01862848" w14:textId="77777777" w:rsidR="00A37447" w:rsidRDefault="00A37447">
            <w:pPr>
              <w:keepNext/>
              <w:spacing w:after="20"/>
              <w:jc w:val="right"/>
            </w:pPr>
            <w:r>
              <w:rPr>
                <w:sz w:val="16"/>
              </w:rPr>
              <w:t>-5</w:t>
            </w:r>
          </w:p>
        </w:tc>
        <w:tc>
          <w:tcPr>
            <w:tcW w:w="1215" w:type="dxa"/>
            <w:noWrap/>
          </w:tcPr>
          <w:p w14:paraId="12C3F5D3" w14:textId="77777777" w:rsidR="00A37447" w:rsidRDefault="00A37447">
            <w:pPr>
              <w:keepNext/>
              <w:spacing w:after="20"/>
              <w:jc w:val="right"/>
            </w:pPr>
            <w:r>
              <w:rPr>
                <w:sz w:val="16"/>
              </w:rPr>
              <w:t>-1</w:t>
            </w:r>
          </w:p>
        </w:tc>
        <w:tc>
          <w:tcPr>
            <w:tcW w:w="1215" w:type="dxa"/>
            <w:noWrap/>
          </w:tcPr>
          <w:p w14:paraId="02BA64D1" w14:textId="77777777" w:rsidR="00A37447" w:rsidRDefault="00A37447">
            <w:pPr>
              <w:keepNext/>
              <w:spacing w:after="20"/>
              <w:jc w:val="right"/>
            </w:pPr>
            <w:r>
              <w:rPr>
                <w:sz w:val="16"/>
              </w:rPr>
              <w:t>2</w:t>
            </w:r>
          </w:p>
        </w:tc>
        <w:tc>
          <w:tcPr>
            <w:tcW w:w="1215" w:type="dxa"/>
            <w:noWrap/>
          </w:tcPr>
          <w:p w14:paraId="43BA57A4" w14:textId="77777777" w:rsidR="00A37447" w:rsidRDefault="00A37447">
            <w:pPr>
              <w:keepNext/>
              <w:spacing w:after="20"/>
              <w:jc w:val="right"/>
            </w:pPr>
            <w:r>
              <w:rPr>
                <w:sz w:val="16"/>
              </w:rPr>
              <w:t>-4</w:t>
            </w:r>
          </w:p>
        </w:tc>
        <w:tc>
          <w:tcPr>
            <w:tcW w:w="1215" w:type="dxa"/>
            <w:noWrap/>
          </w:tcPr>
          <w:p w14:paraId="5EC10921" w14:textId="77777777" w:rsidR="00A37447" w:rsidRDefault="00A37447">
            <w:pPr>
              <w:keepNext/>
              <w:spacing w:after="20"/>
              <w:jc w:val="right"/>
            </w:pPr>
            <w:r>
              <w:rPr>
                <w:sz w:val="16"/>
              </w:rPr>
              <w:t>-328,8 %</w:t>
            </w:r>
          </w:p>
        </w:tc>
      </w:tr>
      <w:tr w:rsidR="00855697" w14:paraId="4F19308C" w14:textId="77777777">
        <w:trPr>
          <w:cantSplit/>
        </w:trPr>
        <w:tc>
          <w:tcPr>
            <w:tcW w:w="1215" w:type="dxa"/>
            <w:noWrap/>
          </w:tcPr>
          <w:p w14:paraId="387E1E36" w14:textId="304D87E0" w:rsidR="00A37447" w:rsidRDefault="00000000">
            <w:pPr>
              <w:keepNext/>
              <w:spacing w:after="20"/>
            </w:pPr>
            <w:r>
              <w:rPr>
                <w:sz w:val="17"/>
              </w:rPr>
              <w:t>Ebitda</w:t>
            </w:r>
          </w:p>
        </w:tc>
        <w:tc>
          <w:tcPr>
            <w:tcW w:w="1215" w:type="dxa"/>
            <w:noWrap/>
          </w:tcPr>
          <w:p w14:paraId="5959BF1A" w14:textId="77777777" w:rsidR="00A37447" w:rsidRDefault="00A37447">
            <w:pPr>
              <w:keepNext/>
              <w:spacing w:after="20"/>
              <w:jc w:val="right"/>
            </w:pPr>
            <w:r>
              <w:rPr>
                <w:sz w:val="16"/>
              </w:rPr>
              <w:t>25</w:t>
            </w:r>
          </w:p>
        </w:tc>
        <w:tc>
          <w:tcPr>
            <w:tcW w:w="1215" w:type="dxa"/>
            <w:noWrap/>
          </w:tcPr>
          <w:p w14:paraId="63053F34" w14:textId="77777777" w:rsidR="00A37447" w:rsidRDefault="00A37447">
            <w:pPr>
              <w:keepNext/>
              <w:spacing w:after="20"/>
              <w:jc w:val="right"/>
            </w:pPr>
            <w:r>
              <w:rPr>
                <w:sz w:val="16"/>
              </w:rPr>
              <w:t>19</w:t>
            </w:r>
          </w:p>
        </w:tc>
        <w:tc>
          <w:tcPr>
            <w:tcW w:w="1215" w:type="dxa"/>
            <w:noWrap/>
          </w:tcPr>
          <w:p w14:paraId="5B56AA45" w14:textId="77777777" w:rsidR="00A37447" w:rsidRDefault="00A37447">
            <w:pPr>
              <w:keepNext/>
              <w:spacing w:after="20"/>
              <w:jc w:val="right"/>
            </w:pPr>
            <w:r>
              <w:rPr>
                <w:sz w:val="16"/>
              </w:rPr>
              <w:t>31</w:t>
            </w:r>
          </w:p>
        </w:tc>
        <w:tc>
          <w:tcPr>
            <w:tcW w:w="1215" w:type="dxa"/>
            <w:noWrap/>
          </w:tcPr>
          <w:p w14:paraId="26CF06FD" w14:textId="77777777" w:rsidR="00A37447" w:rsidRDefault="00A37447">
            <w:pPr>
              <w:keepNext/>
              <w:spacing w:after="20"/>
              <w:jc w:val="right"/>
            </w:pPr>
            <w:r>
              <w:rPr>
                <w:sz w:val="16"/>
              </w:rPr>
              <w:t>33</w:t>
            </w:r>
          </w:p>
        </w:tc>
        <w:tc>
          <w:tcPr>
            <w:tcW w:w="1215" w:type="dxa"/>
            <w:noWrap/>
          </w:tcPr>
          <w:p w14:paraId="6F4BDD4B" w14:textId="77777777" w:rsidR="00A37447" w:rsidRDefault="00A37447">
            <w:pPr>
              <w:keepNext/>
              <w:spacing w:after="20"/>
              <w:jc w:val="right"/>
            </w:pPr>
            <w:r>
              <w:rPr>
                <w:sz w:val="16"/>
              </w:rPr>
              <w:t>29</w:t>
            </w:r>
          </w:p>
        </w:tc>
        <w:tc>
          <w:tcPr>
            <w:tcW w:w="1215" w:type="dxa"/>
            <w:noWrap/>
          </w:tcPr>
          <w:p w14:paraId="4C7567BA" w14:textId="77777777" w:rsidR="00A37447" w:rsidRDefault="00A37447">
            <w:pPr>
              <w:keepNext/>
              <w:spacing w:after="20"/>
              <w:jc w:val="right"/>
            </w:pPr>
            <w:r>
              <w:rPr>
                <w:sz w:val="16"/>
              </w:rPr>
              <w:t>-13,1 %</w:t>
            </w:r>
          </w:p>
        </w:tc>
      </w:tr>
    </w:tbl>
    <w:p w14:paraId="14684CDE" w14:textId="77777777" w:rsidR="00A37447" w:rsidRPr="0036111A" w:rsidRDefault="00A37447">
      <w:pPr>
        <w:keepLines/>
        <w:spacing w:before="40"/>
        <w:jc w:val="right"/>
        <w:rPr>
          <w:lang w:val="es-PE"/>
        </w:rPr>
      </w:pPr>
      <w:r w:rsidRPr="0036111A">
        <w:rPr>
          <w:b/>
          <w:color w:val="404040"/>
          <w:sz w:val="15"/>
          <w:lang w:val="es-PE"/>
        </w:rPr>
        <w:t>FUENTE: Empresas del sector, APOYO Consultoría</w:t>
      </w:r>
    </w:p>
    <w:p w14:paraId="0059AA9B" w14:textId="29627252" w:rsidR="00A37447" w:rsidRDefault="00A37447">
      <w:pPr>
        <w:spacing w:before="160"/>
        <w:jc w:val="center"/>
      </w:pPr>
      <w:r>
        <w:rPr>
          <w:noProof/>
        </w:rPr>
        <w:drawing>
          <wp:inline distT="0" distB="0" distL="0" distR="0" wp14:anchorId="53A248F9" wp14:editId="13D66D59">
            <wp:extent cx="5400000" cy="3609104"/>
            <wp:effectExtent l="0" t="0" r="0" b="0"/>
            <wp:docPr id="2110891824" name="Imagen 211089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73.png"/>
                    <pic:cNvPicPr/>
                  </pic:nvPicPr>
                  <pic:blipFill>
                    <a:blip r:embed="rId86"/>
                    <a:stretch>
                      <a:fillRect/>
                    </a:stretch>
                  </pic:blipFill>
                  <pic:spPr>
                    <a:xfrm>
                      <a:off x="0" y="0"/>
                      <a:ext cx="5400000" cy="3609104"/>
                    </a:xfrm>
                    <a:prstGeom prst="rect">
                      <a:avLst/>
                    </a:prstGeom>
                  </pic:spPr>
                </pic:pic>
              </a:graphicData>
            </a:graphic>
          </wp:inline>
        </w:drawing>
      </w:r>
    </w:p>
    <w:p w14:paraId="5A94A3D1" w14:textId="40C87461" w:rsidR="00C75A27" w:rsidRDefault="00D4093E">
      <w:pPr>
        <w:spacing w:before="160"/>
        <w:jc w:val="center"/>
      </w:pPr>
      <w:r>
        <w:rPr>
          <w:noProof/>
        </w:rPr>
        <w:lastRenderedPageBreak/>
        <w:drawing>
          <wp:inline distT="0" distB="0" distL="0" distR="0" wp14:anchorId="242DB099" wp14:editId="07DC9914">
            <wp:extent cx="5400000" cy="3405195"/>
            <wp:effectExtent l="0" t="0" r="0" b="0"/>
            <wp:docPr id="2110891825" name="Imagen 211089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74.png"/>
                    <pic:cNvPicPr/>
                  </pic:nvPicPr>
                  <pic:blipFill>
                    <a:blip r:embed="rId87"/>
                    <a:stretch>
                      <a:fillRect/>
                    </a:stretch>
                  </pic:blipFill>
                  <pic:spPr>
                    <a:xfrm>
                      <a:off x="0" y="0"/>
                      <a:ext cx="5400000" cy="3405195"/>
                    </a:xfrm>
                    <a:prstGeom prst="rect">
                      <a:avLst/>
                    </a:prstGeom>
                  </pic:spPr>
                </pic:pic>
              </a:graphicData>
            </a:graphic>
          </wp:inline>
        </w:drawing>
      </w:r>
    </w:p>
    <w:p w14:paraId="0AF2BA81" w14:textId="77777777" w:rsidR="00A37447" w:rsidRPr="0036111A" w:rsidRDefault="00A37447">
      <w:pPr>
        <w:pStyle w:val="Ttulo4"/>
        <w:pageBreakBefore/>
        <w:rPr>
          <w:lang w:val="es-PE"/>
        </w:rPr>
      </w:pPr>
      <w:bookmarkStart w:id="33" w:name="_Toc235083043"/>
      <w:r w:rsidRPr="0036111A">
        <w:rPr>
          <w:lang w:val="es-PE"/>
        </w:rPr>
        <w:lastRenderedPageBreak/>
        <w:t>3.2.9.4. Contugas</w:t>
      </w:r>
      <w:bookmarkEnd w:id="33"/>
    </w:p>
    <w:p w14:paraId="135D7666" w14:textId="5F4503DE" w:rsidR="00A37447" w:rsidRPr="0036111A" w:rsidRDefault="00A37447" w:rsidP="00A500F5">
      <w:pPr>
        <w:keepNext/>
        <w:keepLines/>
        <w:spacing w:before="160" w:after="20"/>
        <w:rPr>
          <w:lang w:val="es-PE"/>
        </w:rPr>
      </w:pPr>
      <w:r w:rsidRPr="0036111A">
        <w:rPr>
          <w:b/>
          <w:color w:val="00838F"/>
          <w:sz w:val="20"/>
          <w:lang w:val="es-PE"/>
        </w:rPr>
        <w:t>CONTUGAS: CIFRAS FINANCIERAS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216"/>
        <w:gridCol w:w="1215"/>
        <w:gridCol w:w="1215"/>
        <w:gridCol w:w="1215"/>
        <w:gridCol w:w="1215"/>
        <w:gridCol w:w="1215"/>
        <w:gridCol w:w="1215"/>
      </w:tblGrid>
      <w:tr w:rsidR="00855697" w14:paraId="09883928" w14:textId="77777777">
        <w:trPr>
          <w:cantSplit/>
          <w:tblHeader/>
        </w:trPr>
        <w:tc>
          <w:tcPr>
            <w:tcW w:w="1215" w:type="dxa"/>
            <w:shd w:val="clear" w:color="auto" w:fill="1F3864"/>
          </w:tcPr>
          <w:p w14:paraId="4EB30AB7" w14:textId="77777777" w:rsidR="00A37447" w:rsidRDefault="00A37447">
            <w:pPr>
              <w:keepNext/>
            </w:pPr>
            <w:r>
              <w:rPr>
                <w:b/>
                <w:color w:val="FFFFFF"/>
                <w:sz w:val="17"/>
              </w:rPr>
              <w:t>US$ millones</w:t>
            </w:r>
          </w:p>
        </w:tc>
        <w:tc>
          <w:tcPr>
            <w:tcW w:w="1215" w:type="dxa"/>
            <w:shd w:val="clear" w:color="auto" w:fill="1F3864"/>
            <w:noWrap/>
          </w:tcPr>
          <w:p w14:paraId="45AEF847" w14:textId="77777777" w:rsidR="00A37447" w:rsidRDefault="00A37447">
            <w:pPr>
              <w:keepNext/>
              <w:jc w:val="right"/>
            </w:pPr>
            <w:r>
              <w:rPr>
                <w:b/>
                <w:color w:val="FFFFFF"/>
                <w:sz w:val="17"/>
              </w:rPr>
              <w:t>2021</w:t>
            </w:r>
          </w:p>
        </w:tc>
        <w:tc>
          <w:tcPr>
            <w:tcW w:w="1215" w:type="dxa"/>
            <w:shd w:val="clear" w:color="auto" w:fill="1F3864"/>
            <w:noWrap/>
          </w:tcPr>
          <w:p w14:paraId="6477A7EA" w14:textId="77777777" w:rsidR="00A37447" w:rsidRDefault="00A37447">
            <w:pPr>
              <w:keepNext/>
              <w:jc w:val="right"/>
            </w:pPr>
            <w:r>
              <w:rPr>
                <w:b/>
                <w:color w:val="FFFFFF"/>
                <w:sz w:val="17"/>
              </w:rPr>
              <w:t>2022</w:t>
            </w:r>
          </w:p>
        </w:tc>
        <w:tc>
          <w:tcPr>
            <w:tcW w:w="1215" w:type="dxa"/>
            <w:shd w:val="clear" w:color="auto" w:fill="1F3864"/>
            <w:noWrap/>
          </w:tcPr>
          <w:p w14:paraId="5D7199F7" w14:textId="77777777" w:rsidR="00A37447" w:rsidRDefault="00A37447">
            <w:pPr>
              <w:keepNext/>
              <w:jc w:val="right"/>
            </w:pPr>
            <w:r>
              <w:rPr>
                <w:b/>
                <w:color w:val="FFFFFF"/>
                <w:sz w:val="17"/>
              </w:rPr>
              <w:t>2023</w:t>
            </w:r>
          </w:p>
        </w:tc>
        <w:tc>
          <w:tcPr>
            <w:tcW w:w="1215" w:type="dxa"/>
            <w:shd w:val="clear" w:color="auto" w:fill="1F3864"/>
            <w:noWrap/>
          </w:tcPr>
          <w:p w14:paraId="6A2C9064" w14:textId="77777777" w:rsidR="00A37447" w:rsidRDefault="00A37447">
            <w:pPr>
              <w:keepNext/>
              <w:jc w:val="right"/>
            </w:pPr>
            <w:r>
              <w:rPr>
                <w:b/>
                <w:color w:val="FFFFFF"/>
                <w:sz w:val="17"/>
              </w:rPr>
              <w:t>2024</w:t>
            </w:r>
          </w:p>
        </w:tc>
        <w:tc>
          <w:tcPr>
            <w:tcW w:w="1215" w:type="dxa"/>
            <w:shd w:val="clear" w:color="auto" w:fill="1F3864"/>
            <w:noWrap/>
          </w:tcPr>
          <w:p w14:paraId="4AAC293D" w14:textId="77777777" w:rsidR="00A37447" w:rsidRDefault="00A37447">
            <w:pPr>
              <w:keepNext/>
              <w:jc w:val="right"/>
            </w:pPr>
            <w:r>
              <w:rPr>
                <w:b/>
                <w:color w:val="FFFFFF"/>
                <w:sz w:val="17"/>
              </w:rPr>
              <w:t>2025</w:t>
            </w:r>
          </w:p>
        </w:tc>
        <w:tc>
          <w:tcPr>
            <w:tcW w:w="1215" w:type="dxa"/>
            <w:shd w:val="clear" w:color="auto" w:fill="1F3864"/>
          </w:tcPr>
          <w:p w14:paraId="49B6EBFE" w14:textId="77777777" w:rsidR="00A37447" w:rsidRDefault="00A37447">
            <w:pPr>
              <w:keepNext/>
              <w:jc w:val="right"/>
            </w:pPr>
            <w:r>
              <w:rPr>
                <w:b/>
                <w:color w:val="FFFFFF"/>
                <w:sz w:val="17"/>
              </w:rPr>
              <w:t>Var. % 2025 vs 2024</w:t>
            </w:r>
          </w:p>
        </w:tc>
      </w:tr>
      <w:tr w:rsidR="00855697" w14:paraId="133B04BA" w14:textId="77777777">
        <w:trPr>
          <w:cantSplit/>
        </w:trPr>
        <w:tc>
          <w:tcPr>
            <w:tcW w:w="1215" w:type="dxa"/>
            <w:noWrap/>
          </w:tcPr>
          <w:p w14:paraId="4A056AC1" w14:textId="77777777" w:rsidR="00A37447" w:rsidRDefault="00A37447">
            <w:pPr>
              <w:keepNext/>
              <w:spacing w:after="20"/>
            </w:pPr>
            <w:r>
              <w:rPr>
                <w:sz w:val="17"/>
              </w:rPr>
              <w:t>Activo</w:t>
            </w:r>
          </w:p>
        </w:tc>
        <w:tc>
          <w:tcPr>
            <w:tcW w:w="1215" w:type="dxa"/>
            <w:noWrap/>
          </w:tcPr>
          <w:p w14:paraId="4CDD42EF" w14:textId="77777777" w:rsidR="00A37447" w:rsidRDefault="00A37447">
            <w:pPr>
              <w:keepNext/>
              <w:spacing w:after="20"/>
              <w:jc w:val="right"/>
            </w:pPr>
            <w:r>
              <w:rPr>
                <w:sz w:val="16"/>
              </w:rPr>
              <w:t>444</w:t>
            </w:r>
          </w:p>
        </w:tc>
        <w:tc>
          <w:tcPr>
            <w:tcW w:w="1215" w:type="dxa"/>
            <w:noWrap/>
          </w:tcPr>
          <w:p w14:paraId="5F5D95FA" w14:textId="77777777" w:rsidR="00A37447" w:rsidRDefault="00A37447">
            <w:pPr>
              <w:keepNext/>
              <w:spacing w:after="20"/>
              <w:jc w:val="right"/>
            </w:pPr>
            <w:r>
              <w:rPr>
                <w:sz w:val="16"/>
              </w:rPr>
              <w:t>426</w:t>
            </w:r>
          </w:p>
        </w:tc>
        <w:tc>
          <w:tcPr>
            <w:tcW w:w="1215" w:type="dxa"/>
            <w:noWrap/>
          </w:tcPr>
          <w:p w14:paraId="244F78C8" w14:textId="77777777" w:rsidR="00A37447" w:rsidRDefault="00A37447">
            <w:pPr>
              <w:keepNext/>
              <w:spacing w:after="20"/>
              <w:jc w:val="right"/>
            </w:pPr>
            <w:r>
              <w:rPr>
                <w:sz w:val="16"/>
              </w:rPr>
              <w:t>416</w:t>
            </w:r>
          </w:p>
        </w:tc>
        <w:tc>
          <w:tcPr>
            <w:tcW w:w="1215" w:type="dxa"/>
            <w:noWrap/>
          </w:tcPr>
          <w:p w14:paraId="17D945C8" w14:textId="77777777" w:rsidR="00A37447" w:rsidRDefault="00A37447">
            <w:pPr>
              <w:keepNext/>
              <w:spacing w:after="20"/>
              <w:jc w:val="right"/>
            </w:pPr>
            <w:r>
              <w:rPr>
                <w:sz w:val="16"/>
              </w:rPr>
              <w:t>385</w:t>
            </w:r>
          </w:p>
        </w:tc>
        <w:tc>
          <w:tcPr>
            <w:tcW w:w="1215" w:type="dxa"/>
            <w:noWrap/>
          </w:tcPr>
          <w:p w14:paraId="0556DB2F" w14:textId="77777777" w:rsidR="00A37447" w:rsidRDefault="00A37447">
            <w:pPr>
              <w:keepNext/>
              <w:spacing w:after="20"/>
              <w:jc w:val="right"/>
            </w:pPr>
            <w:r>
              <w:rPr>
                <w:sz w:val="16"/>
              </w:rPr>
              <w:t>363</w:t>
            </w:r>
          </w:p>
        </w:tc>
        <w:tc>
          <w:tcPr>
            <w:tcW w:w="1215" w:type="dxa"/>
            <w:noWrap/>
          </w:tcPr>
          <w:p w14:paraId="70233F29" w14:textId="77777777" w:rsidR="00A37447" w:rsidRDefault="00A37447">
            <w:pPr>
              <w:keepNext/>
              <w:spacing w:after="20"/>
              <w:jc w:val="right"/>
            </w:pPr>
            <w:r>
              <w:rPr>
                <w:sz w:val="16"/>
              </w:rPr>
              <w:t>-5,7 %</w:t>
            </w:r>
          </w:p>
        </w:tc>
      </w:tr>
      <w:tr w:rsidR="00855697" w14:paraId="7A7BE916" w14:textId="77777777">
        <w:trPr>
          <w:cantSplit/>
        </w:trPr>
        <w:tc>
          <w:tcPr>
            <w:tcW w:w="1215" w:type="dxa"/>
            <w:noWrap/>
          </w:tcPr>
          <w:p w14:paraId="5A311EB9" w14:textId="77777777" w:rsidR="00A37447" w:rsidRDefault="00A37447">
            <w:pPr>
              <w:keepNext/>
              <w:spacing w:after="20"/>
            </w:pPr>
            <w:r>
              <w:rPr>
                <w:sz w:val="17"/>
              </w:rPr>
              <w:t>Pasivo</w:t>
            </w:r>
          </w:p>
        </w:tc>
        <w:tc>
          <w:tcPr>
            <w:tcW w:w="1215" w:type="dxa"/>
            <w:noWrap/>
          </w:tcPr>
          <w:p w14:paraId="2974802A" w14:textId="77777777" w:rsidR="00A37447" w:rsidRDefault="00A37447">
            <w:pPr>
              <w:keepNext/>
              <w:spacing w:after="20"/>
              <w:jc w:val="right"/>
            </w:pPr>
            <w:r>
              <w:rPr>
                <w:sz w:val="16"/>
              </w:rPr>
              <w:t>379</w:t>
            </w:r>
          </w:p>
        </w:tc>
        <w:tc>
          <w:tcPr>
            <w:tcW w:w="1215" w:type="dxa"/>
            <w:noWrap/>
          </w:tcPr>
          <w:p w14:paraId="7565A6BE" w14:textId="77777777" w:rsidR="00A37447" w:rsidRDefault="00A37447">
            <w:pPr>
              <w:keepNext/>
              <w:spacing w:after="20"/>
              <w:jc w:val="right"/>
            </w:pPr>
            <w:r>
              <w:rPr>
                <w:sz w:val="16"/>
              </w:rPr>
              <w:t>381</w:t>
            </w:r>
          </w:p>
        </w:tc>
        <w:tc>
          <w:tcPr>
            <w:tcW w:w="1215" w:type="dxa"/>
            <w:noWrap/>
          </w:tcPr>
          <w:p w14:paraId="57BABEE8" w14:textId="77777777" w:rsidR="00A37447" w:rsidRDefault="00A37447">
            <w:pPr>
              <w:keepNext/>
              <w:spacing w:after="20"/>
              <w:jc w:val="right"/>
            </w:pPr>
            <w:r>
              <w:rPr>
                <w:sz w:val="16"/>
              </w:rPr>
              <w:t>380</w:t>
            </w:r>
          </w:p>
        </w:tc>
        <w:tc>
          <w:tcPr>
            <w:tcW w:w="1215" w:type="dxa"/>
            <w:noWrap/>
          </w:tcPr>
          <w:p w14:paraId="323ABC19" w14:textId="77777777" w:rsidR="00A37447" w:rsidRDefault="00A37447">
            <w:pPr>
              <w:keepNext/>
              <w:spacing w:after="20"/>
              <w:jc w:val="right"/>
            </w:pPr>
            <w:r>
              <w:rPr>
                <w:sz w:val="16"/>
              </w:rPr>
              <w:t>346</w:t>
            </w:r>
          </w:p>
        </w:tc>
        <w:tc>
          <w:tcPr>
            <w:tcW w:w="1215" w:type="dxa"/>
            <w:noWrap/>
          </w:tcPr>
          <w:p w14:paraId="124EE18D" w14:textId="77777777" w:rsidR="00A37447" w:rsidRDefault="00A37447">
            <w:pPr>
              <w:keepNext/>
              <w:spacing w:after="20"/>
              <w:jc w:val="right"/>
            </w:pPr>
            <w:r>
              <w:rPr>
                <w:sz w:val="16"/>
              </w:rPr>
              <w:t>329</w:t>
            </w:r>
          </w:p>
        </w:tc>
        <w:tc>
          <w:tcPr>
            <w:tcW w:w="1215" w:type="dxa"/>
            <w:noWrap/>
          </w:tcPr>
          <w:p w14:paraId="772FA939" w14:textId="77777777" w:rsidR="00A37447" w:rsidRDefault="00A37447">
            <w:pPr>
              <w:keepNext/>
              <w:spacing w:after="20"/>
              <w:jc w:val="right"/>
            </w:pPr>
            <w:r>
              <w:rPr>
                <w:sz w:val="16"/>
              </w:rPr>
              <w:t>-4,8 %</w:t>
            </w:r>
          </w:p>
        </w:tc>
      </w:tr>
      <w:tr w:rsidR="00855697" w14:paraId="41DF917E" w14:textId="77777777">
        <w:trPr>
          <w:cantSplit/>
        </w:trPr>
        <w:tc>
          <w:tcPr>
            <w:tcW w:w="1215" w:type="dxa"/>
            <w:noWrap/>
          </w:tcPr>
          <w:p w14:paraId="7EA9FB15" w14:textId="77777777" w:rsidR="00A37447" w:rsidRDefault="00A37447">
            <w:pPr>
              <w:keepNext/>
              <w:spacing w:after="20"/>
            </w:pPr>
            <w:r>
              <w:rPr>
                <w:sz w:val="17"/>
              </w:rPr>
              <w:t>Patrimonio</w:t>
            </w:r>
          </w:p>
        </w:tc>
        <w:tc>
          <w:tcPr>
            <w:tcW w:w="1215" w:type="dxa"/>
            <w:noWrap/>
          </w:tcPr>
          <w:p w14:paraId="5A124BD7" w14:textId="77777777" w:rsidR="00A37447" w:rsidRDefault="00A37447">
            <w:pPr>
              <w:keepNext/>
              <w:spacing w:after="20"/>
              <w:jc w:val="right"/>
            </w:pPr>
            <w:r>
              <w:rPr>
                <w:sz w:val="16"/>
              </w:rPr>
              <w:t>65</w:t>
            </w:r>
          </w:p>
        </w:tc>
        <w:tc>
          <w:tcPr>
            <w:tcW w:w="1215" w:type="dxa"/>
            <w:noWrap/>
          </w:tcPr>
          <w:p w14:paraId="0AF450A6" w14:textId="77777777" w:rsidR="00A37447" w:rsidRDefault="00A37447">
            <w:pPr>
              <w:keepNext/>
              <w:spacing w:after="20"/>
              <w:jc w:val="right"/>
            </w:pPr>
            <w:r>
              <w:rPr>
                <w:sz w:val="16"/>
              </w:rPr>
              <w:t>45</w:t>
            </w:r>
          </w:p>
        </w:tc>
        <w:tc>
          <w:tcPr>
            <w:tcW w:w="1215" w:type="dxa"/>
            <w:noWrap/>
          </w:tcPr>
          <w:p w14:paraId="59C6A61A" w14:textId="77777777" w:rsidR="00A37447" w:rsidRDefault="00A37447">
            <w:pPr>
              <w:keepNext/>
              <w:spacing w:after="20"/>
              <w:jc w:val="right"/>
            </w:pPr>
            <w:r>
              <w:rPr>
                <w:sz w:val="16"/>
              </w:rPr>
              <w:t>35</w:t>
            </w:r>
          </w:p>
        </w:tc>
        <w:tc>
          <w:tcPr>
            <w:tcW w:w="1215" w:type="dxa"/>
            <w:noWrap/>
          </w:tcPr>
          <w:p w14:paraId="34DF1D52" w14:textId="77777777" w:rsidR="00A37447" w:rsidRDefault="00A37447">
            <w:pPr>
              <w:keepNext/>
              <w:spacing w:after="20"/>
              <w:jc w:val="right"/>
            </w:pPr>
            <w:r>
              <w:rPr>
                <w:sz w:val="16"/>
              </w:rPr>
              <w:t>39</w:t>
            </w:r>
          </w:p>
        </w:tc>
        <w:tc>
          <w:tcPr>
            <w:tcW w:w="1215" w:type="dxa"/>
            <w:noWrap/>
          </w:tcPr>
          <w:p w14:paraId="6E749F83" w14:textId="77777777" w:rsidR="00A37447" w:rsidRDefault="00A37447">
            <w:pPr>
              <w:keepNext/>
              <w:spacing w:after="20"/>
              <w:jc w:val="right"/>
            </w:pPr>
            <w:r>
              <w:rPr>
                <w:sz w:val="16"/>
              </w:rPr>
              <w:t>34</w:t>
            </w:r>
          </w:p>
        </w:tc>
        <w:tc>
          <w:tcPr>
            <w:tcW w:w="1215" w:type="dxa"/>
            <w:noWrap/>
          </w:tcPr>
          <w:p w14:paraId="0B1864CC" w14:textId="77777777" w:rsidR="00A37447" w:rsidRDefault="00A37447">
            <w:pPr>
              <w:keepNext/>
              <w:spacing w:after="20"/>
              <w:jc w:val="right"/>
            </w:pPr>
            <w:r>
              <w:rPr>
                <w:sz w:val="16"/>
              </w:rPr>
              <w:t>-13,1 %</w:t>
            </w:r>
          </w:p>
        </w:tc>
      </w:tr>
      <w:tr w:rsidR="00855697" w14:paraId="4D38D977" w14:textId="77777777">
        <w:trPr>
          <w:cantSplit/>
        </w:trPr>
        <w:tc>
          <w:tcPr>
            <w:tcW w:w="1215" w:type="dxa"/>
          </w:tcPr>
          <w:p w14:paraId="38DD6F22" w14:textId="77777777" w:rsidR="00A37447" w:rsidRDefault="00A37447">
            <w:pPr>
              <w:keepNext/>
              <w:spacing w:after="20"/>
            </w:pPr>
            <w:r>
              <w:rPr>
                <w:sz w:val="17"/>
              </w:rPr>
              <w:t>Ingreso operacional</w:t>
            </w:r>
          </w:p>
        </w:tc>
        <w:tc>
          <w:tcPr>
            <w:tcW w:w="1215" w:type="dxa"/>
            <w:noWrap/>
          </w:tcPr>
          <w:p w14:paraId="21FD3575" w14:textId="77777777" w:rsidR="00A37447" w:rsidRDefault="00A37447">
            <w:pPr>
              <w:keepNext/>
              <w:spacing w:after="20"/>
              <w:jc w:val="right"/>
            </w:pPr>
            <w:r>
              <w:rPr>
                <w:sz w:val="16"/>
              </w:rPr>
              <w:t>84</w:t>
            </w:r>
          </w:p>
        </w:tc>
        <w:tc>
          <w:tcPr>
            <w:tcW w:w="1215" w:type="dxa"/>
            <w:noWrap/>
          </w:tcPr>
          <w:p w14:paraId="09F895A2" w14:textId="77777777" w:rsidR="00A37447" w:rsidRDefault="00A37447">
            <w:pPr>
              <w:keepNext/>
              <w:spacing w:after="20"/>
              <w:jc w:val="right"/>
            </w:pPr>
            <w:r>
              <w:rPr>
                <w:sz w:val="16"/>
              </w:rPr>
              <w:t>63</w:t>
            </w:r>
          </w:p>
        </w:tc>
        <w:tc>
          <w:tcPr>
            <w:tcW w:w="1215" w:type="dxa"/>
            <w:noWrap/>
          </w:tcPr>
          <w:p w14:paraId="2091304F" w14:textId="77777777" w:rsidR="00A37447" w:rsidRDefault="00A37447">
            <w:pPr>
              <w:keepNext/>
              <w:spacing w:after="20"/>
              <w:jc w:val="right"/>
            </w:pPr>
            <w:r>
              <w:rPr>
                <w:sz w:val="16"/>
              </w:rPr>
              <w:t>89</w:t>
            </w:r>
          </w:p>
        </w:tc>
        <w:tc>
          <w:tcPr>
            <w:tcW w:w="1215" w:type="dxa"/>
            <w:noWrap/>
          </w:tcPr>
          <w:p w14:paraId="7CF712F9" w14:textId="77777777" w:rsidR="00A37447" w:rsidRDefault="00A37447">
            <w:pPr>
              <w:keepNext/>
              <w:spacing w:after="20"/>
              <w:jc w:val="right"/>
            </w:pPr>
            <w:r>
              <w:rPr>
                <w:sz w:val="16"/>
              </w:rPr>
              <w:t>86</w:t>
            </w:r>
          </w:p>
        </w:tc>
        <w:tc>
          <w:tcPr>
            <w:tcW w:w="1215" w:type="dxa"/>
            <w:noWrap/>
          </w:tcPr>
          <w:p w14:paraId="2D9FD737" w14:textId="77777777" w:rsidR="00A37447" w:rsidRDefault="00A37447">
            <w:pPr>
              <w:keepNext/>
              <w:spacing w:after="20"/>
              <w:jc w:val="right"/>
            </w:pPr>
            <w:r>
              <w:rPr>
                <w:sz w:val="16"/>
              </w:rPr>
              <w:t>84</w:t>
            </w:r>
          </w:p>
        </w:tc>
        <w:tc>
          <w:tcPr>
            <w:tcW w:w="1215" w:type="dxa"/>
            <w:noWrap/>
          </w:tcPr>
          <w:p w14:paraId="68101D17" w14:textId="77777777" w:rsidR="00A37447" w:rsidRDefault="00A37447">
            <w:pPr>
              <w:keepNext/>
              <w:spacing w:after="20"/>
              <w:jc w:val="right"/>
            </w:pPr>
            <w:r>
              <w:rPr>
                <w:sz w:val="16"/>
              </w:rPr>
              <w:t>-2,5 %</w:t>
            </w:r>
          </w:p>
        </w:tc>
      </w:tr>
      <w:tr w:rsidR="00855697" w14:paraId="7A029D3C" w14:textId="77777777">
        <w:trPr>
          <w:cantSplit/>
        </w:trPr>
        <w:tc>
          <w:tcPr>
            <w:tcW w:w="1215" w:type="dxa"/>
          </w:tcPr>
          <w:p w14:paraId="18FB8978" w14:textId="77777777" w:rsidR="00A37447" w:rsidRDefault="00A37447">
            <w:pPr>
              <w:keepNext/>
              <w:spacing w:after="20"/>
            </w:pPr>
            <w:r>
              <w:rPr>
                <w:sz w:val="17"/>
              </w:rPr>
              <w:t>Utilidad operacional</w:t>
            </w:r>
          </w:p>
        </w:tc>
        <w:tc>
          <w:tcPr>
            <w:tcW w:w="1215" w:type="dxa"/>
            <w:noWrap/>
          </w:tcPr>
          <w:p w14:paraId="04D56EE7" w14:textId="77777777" w:rsidR="00A37447" w:rsidRDefault="00A37447">
            <w:pPr>
              <w:keepNext/>
              <w:spacing w:after="20"/>
              <w:jc w:val="right"/>
            </w:pPr>
            <w:r>
              <w:rPr>
                <w:sz w:val="16"/>
              </w:rPr>
              <w:t>27</w:t>
            </w:r>
          </w:p>
        </w:tc>
        <w:tc>
          <w:tcPr>
            <w:tcW w:w="1215" w:type="dxa"/>
            <w:noWrap/>
          </w:tcPr>
          <w:p w14:paraId="0B0C5123" w14:textId="77777777" w:rsidR="00A37447" w:rsidRDefault="00A37447">
            <w:pPr>
              <w:keepNext/>
              <w:spacing w:after="20"/>
              <w:jc w:val="right"/>
            </w:pPr>
            <w:r>
              <w:rPr>
                <w:sz w:val="16"/>
              </w:rPr>
              <w:t>13</w:t>
            </w:r>
          </w:p>
        </w:tc>
        <w:tc>
          <w:tcPr>
            <w:tcW w:w="1215" w:type="dxa"/>
            <w:noWrap/>
          </w:tcPr>
          <w:p w14:paraId="72916E8C" w14:textId="77777777" w:rsidR="00A37447" w:rsidRDefault="00A37447">
            <w:pPr>
              <w:keepNext/>
              <w:spacing w:after="20"/>
              <w:jc w:val="right"/>
            </w:pPr>
            <w:r>
              <w:rPr>
                <w:sz w:val="16"/>
              </w:rPr>
              <w:t>25</w:t>
            </w:r>
          </w:p>
        </w:tc>
        <w:tc>
          <w:tcPr>
            <w:tcW w:w="1215" w:type="dxa"/>
            <w:noWrap/>
          </w:tcPr>
          <w:p w14:paraId="504AF1F6" w14:textId="77777777" w:rsidR="00A37447" w:rsidRDefault="00A37447">
            <w:pPr>
              <w:keepNext/>
              <w:spacing w:after="20"/>
              <w:jc w:val="right"/>
            </w:pPr>
            <w:r>
              <w:rPr>
                <w:sz w:val="16"/>
              </w:rPr>
              <w:t>30</w:t>
            </w:r>
          </w:p>
        </w:tc>
        <w:tc>
          <w:tcPr>
            <w:tcW w:w="1215" w:type="dxa"/>
            <w:noWrap/>
          </w:tcPr>
          <w:p w14:paraId="66314301" w14:textId="77777777" w:rsidR="00A37447" w:rsidRDefault="00A37447">
            <w:pPr>
              <w:keepNext/>
              <w:spacing w:after="20"/>
              <w:jc w:val="right"/>
            </w:pPr>
            <w:r>
              <w:rPr>
                <w:sz w:val="16"/>
              </w:rPr>
              <w:t>30</w:t>
            </w:r>
          </w:p>
        </w:tc>
        <w:tc>
          <w:tcPr>
            <w:tcW w:w="1215" w:type="dxa"/>
            <w:noWrap/>
          </w:tcPr>
          <w:p w14:paraId="0AE47900" w14:textId="77777777" w:rsidR="00A37447" w:rsidRDefault="00A37447">
            <w:pPr>
              <w:keepNext/>
              <w:spacing w:after="20"/>
              <w:jc w:val="right"/>
            </w:pPr>
            <w:r>
              <w:rPr>
                <w:sz w:val="16"/>
              </w:rPr>
              <w:t>0,1 %</w:t>
            </w:r>
          </w:p>
        </w:tc>
      </w:tr>
      <w:tr w:rsidR="00855697" w14:paraId="7D2553AD" w14:textId="77777777">
        <w:trPr>
          <w:cantSplit/>
        </w:trPr>
        <w:tc>
          <w:tcPr>
            <w:tcW w:w="1215" w:type="dxa"/>
          </w:tcPr>
          <w:p w14:paraId="5156F564" w14:textId="77777777" w:rsidR="00A37447" w:rsidRDefault="00A37447">
            <w:pPr>
              <w:keepNext/>
              <w:spacing w:after="20"/>
            </w:pPr>
            <w:r>
              <w:rPr>
                <w:sz w:val="17"/>
              </w:rPr>
              <w:t>Utilidad neta</w:t>
            </w:r>
          </w:p>
        </w:tc>
        <w:tc>
          <w:tcPr>
            <w:tcW w:w="1215" w:type="dxa"/>
            <w:noWrap/>
          </w:tcPr>
          <w:p w14:paraId="1010DB11" w14:textId="77777777" w:rsidR="00A37447" w:rsidRDefault="00A37447">
            <w:pPr>
              <w:keepNext/>
              <w:spacing w:after="20"/>
              <w:jc w:val="right"/>
            </w:pPr>
            <w:r>
              <w:rPr>
                <w:sz w:val="16"/>
              </w:rPr>
              <w:t>17</w:t>
            </w:r>
          </w:p>
        </w:tc>
        <w:tc>
          <w:tcPr>
            <w:tcW w:w="1215" w:type="dxa"/>
            <w:noWrap/>
          </w:tcPr>
          <w:p w14:paraId="71B0D791" w14:textId="77777777" w:rsidR="00A37447" w:rsidRDefault="00A37447">
            <w:pPr>
              <w:keepNext/>
              <w:spacing w:after="20"/>
              <w:jc w:val="right"/>
            </w:pPr>
            <w:r>
              <w:rPr>
                <w:sz w:val="16"/>
              </w:rPr>
              <w:t>-19</w:t>
            </w:r>
          </w:p>
        </w:tc>
        <w:tc>
          <w:tcPr>
            <w:tcW w:w="1215" w:type="dxa"/>
            <w:noWrap/>
          </w:tcPr>
          <w:p w14:paraId="284ABEF4" w14:textId="77777777" w:rsidR="00A37447" w:rsidRDefault="00A37447">
            <w:pPr>
              <w:keepNext/>
              <w:spacing w:after="20"/>
              <w:jc w:val="right"/>
            </w:pPr>
            <w:r>
              <w:rPr>
                <w:sz w:val="16"/>
              </w:rPr>
              <w:t>-10</w:t>
            </w:r>
          </w:p>
        </w:tc>
        <w:tc>
          <w:tcPr>
            <w:tcW w:w="1215" w:type="dxa"/>
            <w:noWrap/>
          </w:tcPr>
          <w:p w14:paraId="568C520F" w14:textId="77777777" w:rsidR="00A37447" w:rsidRDefault="00A37447">
            <w:pPr>
              <w:keepNext/>
              <w:spacing w:after="20"/>
              <w:jc w:val="right"/>
            </w:pPr>
            <w:r>
              <w:rPr>
                <w:sz w:val="16"/>
              </w:rPr>
              <w:t>4</w:t>
            </w:r>
          </w:p>
        </w:tc>
        <w:tc>
          <w:tcPr>
            <w:tcW w:w="1215" w:type="dxa"/>
            <w:noWrap/>
          </w:tcPr>
          <w:p w14:paraId="6034E4DC" w14:textId="77777777" w:rsidR="00A37447" w:rsidRDefault="00A37447">
            <w:pPr>
              <w:keepNext/>
              <w:spacing w:after="20"/>
              <w:jc w:val="right"/>
            </w:pPr>
            <w:r>
              <w:rPr>
                <w:sz w:val="16"/>
              </w:rPr>
              <w:t>-5</w:t>
            </w:r>
          </w:p>
        </w:tc>
        <w:tc>
          <w:tcPr>
            <w:tcW w:w="1215" w:type="dxa"/>
            <w:noWrap/>
          </w:tcPr>
          <w:p w14:paraId="683CBCD6" w14:textId="77777777" w:rsidR="00A37447" w:rsidRDefault="00A37447">
            <w:pPr>
              <w:keepNext/>
              <w:spacing w:after="20"/>
              <w:jc w:val="right"/>
            </w:pPr>
            <w:r>
              <w:rPr>
                <w:sz w:val="16"/>
              </w:rPr>
              <w:t>-235,9 %</w:t>
            </w:r>
          </w:p>
        </w:tc>
      </w:tr>
      <w:tr w:rsidR="00855697" w14:paraId="159B1FAD" w14:textId="77777777">
        <w:trPr>
          <w:cantSplit/>
        </w:trPr>
        <w:tc>
          <w:tcPr>
            <w:tcW w:w="1215" w:type="dxa"/>
            <w:noWrap/>
          </w:tcPr>
          <w:p w14:paraId="1C08104E" w14:textId="652576BE" w:rsidR="00A37447" w:rsidRDefault="00000000">
            <w:pPr>
              <w:keepNext/>
              <w:spacing w:after="20"/>
            </w:pPr>
            <w:r>
              <w:rPr>
                <w:sz w:val="17"/>
              </w:rPr>
              <w:t>Ebitda</w:t>
            </w:r>
          </w:p>
        </w:tc>
        <w:tc>
          <w:tcPr>
            <w:tcW w:w="1215" w:type="dxa"/>
            <w:noWrap/>
          </w:tcPr>
          <w:p w14:paraId="7C664EEF" w14:textId="77777777" w:rsidR="00A37447" w:rsidRDefault="00A37447">
            <w:pPr>
              <w:keepNext/>
              <w:spacing w:after="20"/>
              <w:jc w:val="right"/>
            </w:pPr>
            <w:r>
              <w:rPr>
                <w:sz w:val="16"/>
              </w:rPr>
              <w:t>34</w:t>
            </w:r>
          </w:p>
        </w:tc>
        <w:tc>
          <w:tcPr>
            <w:tcW w:w="1215" w:type="dxa"/>
            <w:noWrap/>
          </w:tcPr>
          <w:p w14:paraId="7BEF156A" w14:textId="77777777" w:rsidR="00A37447" w:rsidRDefault="00A37447">
            <w:pPr>
              <w:keepNext/>
              <w:spacing w:after="20"/>
              <w:jc w:val="right"/>
            </w:pPr>
            <w:r>
              <w:rPr>
                <w:sz w:val="16"/>
              </w:rPr>
              <w:t>20</w:t>
            </w:r>
          </w:p>
        </w:tc>
        <w:tc>
          <w:tcPr>
            <w:tcW w:w="1215" w:type="dxa"/>
            <w:noWrap/>
          </w:tcPr>
          <w:p w14:paraId="1E15879C" w14:textId="77777777" w:rsidR="00A37447" w:rsidRDefault="00A37447">
            <w:pPr>
              <w:keepNext/>
              <w:spacing w:after="20"/>
              <w:jc w:val="right"/>
            </w:pPr>
            <w:r>
              <w:rPr>
                <w:sz w:val="16"/>
              </w:rPr>
              <w:t>28</w:t>
            </w:r>
          </w:p>
        </w:tc>
        <w:tc>
          <w:tcPr>
            <w:tcW w:w="1215" w:type="dxa"/>
            <w:noWrap/>
          </w:tcPr>
          <w:p w14:paraId="3B002824" w14:textId="77777777" w:rsidR="00A37447" w:rsidRDefault="00A37447">
            <w:pPr>
              <w:keepNext/>
              <w:spacing w:after="20"/>
              <w:jc w:val="right"/>
            </w:pPr>
            <w:r>
              <w:rPr>
                <w:sz w:val="16"/>
              </w:rPr>
              <w:t>33</w:t>
            </w:r>
          </w:p>
        </w:tc>
        <w:tc>
          <w:tcPr>
            <w:tcW w:w="1215" w:type="dxa"/>
            <w:noWrap/>
          </w:tcPr>
          <w:p w14:paraId="1010B6F6" w14:textId="77777777" w:rsidR="00A37447" w:rsidRDefault="00A37447">
            <w:pPr>
              <w:keepNext/>
              <w:spacing w:after="20"/>
              <w:jc w:val="right"/>
            </w:pPr>
            <w:r>
              <w:rPr>
                <w:sz w:val="16"/>
              </w:rPr>
              <w:t>34</w:t>
            </w:r>
          </w:p>
        </w:tc>
        <w:tc>
          <w:tcPr>
            <w:tcW w:w="1215" w:type="dxa"/>
            <w:noWrap/>
          </w:tcPr>
          <w:p w14:paraId="6C47B296" w14:textId="77777777" w:rsidR="00A37447" w:rsidRDefault="00A37447">
            <w:pPr>
              <w:keepNext/>
              <w:spacing w:after="20"/>
              <w:jc w:val="right"/>
            </w:pPr>
            <w:r>
              <w:rPr>
                <w:sz w:val="16"/>
              </w:rPr>
              <w:t>2,5 %</w:t>
            </w:r>
          </w:p>
        </w:tc>
      </w:tr>
    </w:tbl>
    <w:p w14:paraId="7B1AFAFF" w14:textId="77777777" w:rsidR="00A37447" w:rsidRPr="0036111A" w:rsidRDefault="00A37447">
      <w:pPr>
        <w:keepLines/>
        <w:spacing w:before="40"/>
        <w:jc w:val="right"/>
        <w:rPr>
          <w:lang w:val="es-PE"/>
        </w:rPr>
      </w:pPr>
      <w:r w:rsidRPr="0036111A">
        <w:rPr>
          <w:b/>
          <w:color w:val="404040"/>
          <w:sz w:val="15"/>
          <w:lang w:val="es-PE"/>
        </w:rPr>
        <w:t>FUENTE: Empresas del sector, APOYO Consultoría</w:t>
      </w:r>
    </w:p>
    <w:p w14:paraId="551C0FF5" w14:textId="69493821" w:rsidR="00A37447" w:rsidRDefault="00A37447">
      <w:pPr>
        <w:spacing w:before="160"/>
        <w:jc w:val="center"/>
      </w:pPr>
      <w:r>
        <w:rPr>
          <w:noProof/>
        </w:rPr>
        <w:drawing>
          <wp:inline distT="0" distB="0" distL="0" distR="0" wp14:anchorId="34E95049" wp14:editId="75B9C6F3">
            <wp:extent cx="4320000" cy="2930872"/>
            <wp:effectExtent l="0" t="0" r="0" b="0"/>
            <wp:docPr id="2110891826" name="Imagen 211089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75.png"/>
                    <pic:cNvPicPr/>
                  </pic:nvPicPr>
                  <pic:blipFill>
                    <a:blip r:embed="rId88"/>
                    <a:stretch>
                      <a:fillRect/>
                    </a:stretch>
                  </pic:blipFill>
                  <pic:spPr>
                    <a:xfrm>
                      <a:off x="0" y="0"/>
                      <a:ext cx="4320000" cy="2930872"/>
                    </a:xfrm>
                    <a:prstGeom prst="rect">
                      <a:avLst/>
                    </a:prstGeom>
                  </pic:spPr>
                </pic:pic>
              </a:graphicData>
            </a:graphic>
          </wp:inline>
        </w:drawing>
      </w:r>
    </w:p>
    <w:p w14:paraId="0393E8FF" w14:textId="38FB336A" w:rsidR="00C75A27" w:rsidRDefault="00D4093E">
      <w:pPr>
        <w:spacing w:before="160"/>
        <w:jc w:val="center"/>
      </w:pPr>
      <w:r>
        <w:rPr>
          <w:noProof/>
        </w:rPr>
        <w:drawing>
          <wp:inline distT="0" distB="0" distL="0" distR="0" wp14:anchorId="73124E96" wp14:editId="205DC981">
            <wp:extent cx="4320000" cy="2952675"/>
            <wp:effectExtent l="0" t="0" r="0" b="0"/>
            <wp:docPr id="2110891827" name="Imagen 211089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76.png"/>
                    <pic:cNvPicPr/>
                  </pic:nvPicPr>
                  <pic:blipFill>
                    <a:blip r:embed="rId89"/>
                    <a:stretch>
                      <a:fillRect/>
                    </a:stretch>
                  </pic:blipFill>
                  <pic:spPr>
                    <a:xfrm>
                      <a:off x="0" y="0"/>
                      <a:ext cx="4320000" cy="2952675"/>
                    </a:xfrm>
                    <a:prstGeom prst="rect">
                      <a:avLst/>
                    </a:prstGeom>
                  </pic:spPr>
                </pic:pic>
              </a:graphicData>
            </a:graphic>
          </wp:inline>
        </w:drawing>
      </w:r>
    </w:p>
    <w:p w14:paraId="309D05A4" w14:textId="77777777" w:rsidR="00A37447" w:rsidRPr="0036111A" w:rsidRDefault="00A37447">
      <w:pPr>
        <w:pStyle w:val="Ttulo4"/>
        <w:pageBreakBefore/>
        <w:rPr>
          <w:lang w:val="es-PE"/>
        </w:rPr>
      </w:pPr>
      <w:bookmarkStart w:id="34" w:name="_Toc235083044"/>
      <w:r w:rsidRPr="0036111A">
        <w:rPr>
          <w:lang w:val="es-PE"/>
        </w:rPr>
        <w:lastRenderedPageBreak/>
        <w:t>3.2.9.5. Gases del Norte del Perú</w:t>
      </w:r>
      <w:bookmarkEnd w:id="34"/>
    </w:p>
    <w:p w14:paraId="12EE440A" w14:textId="77777777" w:rsidR="00A37447" w:rsidRPr="0036111A" w:rsidRDefault="00A37447">
      <w:pPr>
        <w:keepNext/>
        <w:keepLines/>
        <w:spacing w:before="160" w:after="20"/>
        <w:rPr>
          <w:lang w:val="es-PE"/>
        </w:rPr>
      </w:pPr>
      <w:r w:rsidRPr="0036111A">
        <w:rPr>
          <w:b/>
          <w:color w:val="00838F"/>
          <w:sz w:val="20"/>
          <w:lang w:val="es-PE"/>
        </w:rPr>
        <w:t>GASES DEL NORTE DEL PERÚ: CIFRAS FINANCIERAS</w:t>
      </w:r>
    </w:p>
    <w:tbl>
      <w:tblPr>
        <w:tblW w:w="8506" w:type="dxa"/>
        <w:tblBorders>
          <w:top w:val="single" w:sz="4" w:space="0" w:color="BFBFBF"/>
          <w:bottom w:val="single" w:sz="4" w:space="0" w:color="BFBFBF"/>
          <w:insideH w:val="single" w:sz="4" w:space="0" w:color="D9D9D9"/>
        </w:tblBorders>
        <w:tblLayout w:type="fixed"/>
        <w:tblCellMar>
          <w:left w:w="40" w:type="dxa"/>
          <w:right w:w="40" w:type="dxa"/>
        </w:tblCellMar>
        <w:tblLook w:val="04A0" w:firstRow="1" w:lastRow="0" w:firstColumn="1" w:lastColumn="0" w:noHBand="0" w:noVBand="1"/>
      </w:tblPr>
      <w:tblGrid>
        <w:gridCol w:w="1216"/>
        <w:gridCol w:w="1215"/>
        <w:gridCol w:w="1215"/>
        <w:gridCol w:w="1215"/>
        <w:gridCol w:w="1215"/>
        <w:gridCol w:w="1215"/>
        <w:gridCol w:w="1215"/>
      </w:tblGrid>
      <w:tr w:rsidR="00855697" w14:paraId="143B0A73" w14:textId="77777777">
        <w:trPr>
          <w:cantSplit/>
          <w:tblHeader/>
        </w:trPr>
        <w:tc>
          <w:tcPr>
            <w:tcW w:w="1215" w:type="dxa"/>
            <w:shd w:val="clear" w:color="auto" w:fill="1F3864"/>
          </w:tcPr>
          <w:p w14:paraId="59B4F6D8" w14:textId="77777777" w:rsidR="00A37447" w:rsidRDefault="00A37447">
            <w:pPr>
              <w:keepNext/>
            </w:pPr>
            <w:r>
              <w:rPr>
                <w:b/>
                <w:color w:val="FFFFFF"/>
                <w:sz w:val="17"/>
              </w:rPr>
              <w:t>US$ millones</w:t>
            </w:r>
          </w:p>
        </w:tc>
        <w:tc>
          <w:tcPr>
            <w:tcW w:w="1215" w:type="dxa"/>
            <w:shd w:val="clear" w:color="auto" w:fill="1F3864"/>
            <w:noWrap/>
          </w:tcPr>
          <w:p w14:paraId="0E6E93B0" w14:textId="77777777" w:rsidR="00A37447" w:rsidRDefault="00A37447">
            <w:pPr>
              <w:keepNext/>
              <w:jc w:val="right"/>
            </w:pPr>
            <w:r>
              <w:rPr>
                <w:b/>
                <w:color w:val="FFFFFF"/>
                <w:sz w:val="17"/>
              </w:rPr>
              <w:t>2021</w:t>
            </w:r>
          </w:p>
        </w:tc>
        <w:tc>
          <w:tcPr>
            <w:tcW w:w="1215" w:type="dxa"/>
            <w:shd w:val="clear" w:color="auto" w:fill="1F3864"/>
            <w:noWrap/>
          </w:tcPr>
          <w:p w14:paraId="43248AE6" w14:textId="77777777" w:rsidR="00A37447" w:rsidRDefault="00A37447">
            <w:pPr>
              <w:keepNext/>
              <w:jc w:val="right"/>
            </w:pPr>
            <w:r>
              <w:rPr>
                <w:b/>
                <w:color w:val="FFFFFF"/>
                <w:sz w:val="17"/>
              </w:rPr>
              <w:t>2022</w:t>
            </w:r>
          </w:p>
        </w:tc>
        <w:tc>
          <w:tcPr>
            <w:tcW w:w="1215" w:type="dxa"/>
            <w:shd w:val="clear" w:color="auto" w:fill="1F3864"/>
            <w:noWrap/>
          </w:tcPr>
          <w:p w14:paraId="6BF169BA" w14:textId="77777777" w:rsidR="00A37447" w:rsidRDefault="00A37447">
            <w:pPr>
              <w:keepNext/>
              <w:jc w:val="right"/>
            </w:pPr>
            <w:r>
              <w:rPr>
                <w:b/>
                <w:color w:val="FFFFFF"/>
                <w:sz w:val="17"/>
              </w:rPr>
              <w:t>2023</w:t>
            </w:r>
          </w:p>
        </w:tc>
        <w:tc>
          <w:tcPr>
            <w:tcW w:w="1215" w:type="dxa"/>
            <w:shd w:val="clear" w:color="auto" w:fill="1F3864"/>
            <w:noWrap/>
          </w:tcPr>
          <w:p w14:paraId="2771EC0C" w14:textId="77777777" w:rsidR="00A37447" w:rsidRDefault="00A37447">
            <w:pPr>
              <w:keepNext/>
              <w:jc w:val="right"/>
            </w:pPr>
            <w:r>
              <w:rPr>
                <w:b/>
                <w:color w:val="FFFFFF"/>
                <w:sz w:val="17"/>
              </w:rPr>
              <w:t>2024</w:t>
            </w:r>
          </w:p>
        </w:tc>
        <w:tc>
          <w:tcPr>
            <w:tcW w:w="1215" w:type="dxa"/>
            <w:shd w:val="clear" w:color="auto" w:fill="1F3864"/>
            <w:noWrap/>
          </w:tcPr>
          <w:p w14:paraId="58795C5A" w14:textId="77777777" w:rsidR="00A37447" w:rsidRDefault="00A37447">
            <w:pPr>
              <w:keepNext/>
              <w:jc w:val="right"/>
            </w:pPr>
            <w:r>
              <w:rPr>
                <w:b/>
                <w:color w:val="FFFFFF"/>
                <w:sz w:val="17"/>
              </w:rPr>
              <w:t>2025</w:t>
            </w:r>
          </w:p>
        </w:tc>
        <w:tc>
          <w:tcPr>
            <w:tcW w:w="1215" w:type="dxa"/>
            <w:shd w:val="clear" w:color="auto" w:fill="1F3864"/>
          </w:tcPr>
          <w:p w14:paraId="42D8DA49" w14:textId="77777777" w:rsidR="00A37447" w:rsidRDefault="00A37447">
            <w:pPr>
              <w:keepNext/>
              <w:jc w:val="right"/>
            </w:pPr>
            <w:r>
              <w:rPr>
                <w:b/>
                <w:color w:val="FFFFFF"/>
                <w:sz w:val="17"/>
              </w:rPr>
              <w:t>Var. % 2025 vs 2024</w:t>
            </w:r>
          </w:p>
        </w:tc>
      </w:tr>
      <w:tr w:rsidR="00855697" w14:paraId="3048BC26" w14:textId="77777777">
        <w:trPr>
          <w:cantSplit/>
        </w:trPr>
        <w:tc>
          <w:tcPr>
            <w:tcW w:w="1215" w:type="dxa"/>
            <w:noWrap/>
          </w:tcPr>
          <w:p w14:paraId="380C8EC8" w14:textId="77777777" w:rsidR="00A37447" w:rsidRDefault="00A37447">
            <w:pPr>
              <w:keepNext/>
              <w:spacing w:after="20"/>
            </w:pPr>
            <w:r>
              <w:rPr>
                <w:sz w:val="17"/>
              </w:rPr>
              <w:t>Activo</w:t>
            </w:r>
          </w:p>
        </w:tc>
        <w:tc>
          <w:tcPr>
            <w:tcW w:w="1215" w:type="dxa"/>
            <w:noWrap/>
          </w:tcPr>
          <w:p w14:paraId="54CE608D" w14:textId="77777777" w:rsidR="00A37447" w:rsidRDefault="00A37447">
            <w:pPr>
              <w:keepNext/>
              <w:spacing w:after="20"/>
              <w:jc w:val="right"/>
            </w:pPr>
            <w:r>
              <w:rPr>
                <w:sz w:val="16"/>
              </w:rPr>
              <w:t>224</w:t>
            </w:r>
          </w:p>
        </w:tc>
        <w:tc>
          <w:tcPr>
            <w:tcW w:w="1215" w:type="dxa"/>
            <w:noWrap/>
          </w:tcPr>
          <w:p w14:paraId="0C5AEF85" w14:textId="77777777" w:rsidR="00A37447" w:rsidRDefault="00A37447">
            <w:pPr>
              <w:keepNext/>
              <w:spacing w:after="20"/>
              <w:jc w:val="right"/>
            </w:pPr>
            <w:r>
              <w:rPr>
                <w:sz w:val="16"/>
              </w:rPr>
              <w:t>332</w:t>
            </w:r>
          </w:p>
        </w:tc>
        <w:tc>
          <w:tcPr>
            <w:tcW w:w="1215" w:type="dxa"/>
            <w:noWrap/>
          </w:tcPr>
          <w:p w14:paraId="17A3832E" w14:textId="77777777" w:rsidR="00A37447" w:rsidRDefault="00A37447">
            <w:pPr>
              <w:keepNext/>
              <w:spacing w:after="20"/>
              <w:jc w:val="right"/>
            </w:pPr>
            <w:r>
              <w:rPr>
                <w:sz w:val="16"/>
              </w:rPr>
              <w:t>396</w:t>
            </w:r>
          </w:p>
        </w:tc>
        <w:tc>
          <w:tcPr>
            <w:tcW w:w="1215" w:type="dxa"/>
            <w:noWrap/>
          </w:tcPr>
          <w:p w14:paraId="76EC4896" w14:textId="77777777" w:rsidR="00A37447" w:rsidRDefault="00A37447">
            <w:pPr>
              <w:keepNext/>
              <w:spacing w:after="20"/>
              <w:jc w:val="right"/>
            </w:pPr>
            <w:r>
              <w:rPr>
                <w:sz w:val="16"/>
              </w:rPr>
              <w:t>440</w:t>
            </w:r>
          </w:p>
        </w:tc>
        <w:tc>
          <w:tcPr>
            <w:tcW w:w="1215" w:type="dxa"/>
            <w:noWrap/>
          </w:tcPr>
          <w:p w14:paraId="61A98A44" w14:textId="77777777" w:rsidR="00A37447" w:rsidRDefault="00A37447">
            <w:pPr>
              <w:keepNext/>
              <w:spacing w:after="20"/>
              <w:jc w:val="right"/>
            </w:pPr>
            <w:r>
              <w:rPr>
                <w:sz w:val="16"/>
              </w:rPr>
              <w:t>483</w:t>
            </w:r>
          </w:p>
        </w:tc>
        <w:tc>
          <w:tcPr>
            <w:tcW w:w="1215" w:type="dxa"/>
            <w:noWrap/>
          </w:tcPr>
          <w:p w14:paraId="402A4292" w14:textId="77777777" w:rsidR="00A37447" w:rsidRDefault="00A37447">
            <w:pPr>
              <w:keepNext/>
              <w:spacing w:after="20"/>
              <w:jc w:val="right"/>
            </w:pPr>
            <w:r>
              <w:rPr>
                <w:sz w:val="16"/>
              </w:rPr>
              <w:t>9,8 %</w:t>
            </w:r>
          </w:p>
        </w:tc>
      </w:tr>
      <w:tr w:rsidR="00855697" w14:paraId="067A006E" w14:textId="77777777">
        <w:trPr>
          <w:cantSplit/>
        </w:trPr>
        <w:tc>
          <w:tcPr>
            <w:tcW w:w="1215" w:type="dxa"/>
            <w:noWrap/>
          </w:tcPr>
          <w:p w14:paraId="7166C0DD" w14:textId="77777777" w:rsidR="00A37447" w:rsidRDefault="00A37447">
            <w:pPr>
              <w:keepNext/>
              <w:spacing w:after="20"/>
            </w:pPr>
            <w:r>
              <w:rPr>
                <w:sz w:val="17"/>
              </w:rPr>
              <w:t>Pasivo</w:t>
            </w:r>
          </w:p>
        </w:tc>
        <w:tc>
          <w:tcPr>
            <w:tcW w:w="1215" w:type="dxa"/>
            <w:noWrap/>
          </w:tcPr>
          <w:p w14:paraId="0E01CDEF" w14:textId="77777777" w:rsidR="00A37447" w:rsidRDefault="00A37447">
            <w:pPr>
              <w:keepNext/>
              <w:spacing w:after="20"/>
              <w:jc w:val="right"/>
            </w:pPr>
            <w:r>
              <w:rPr>
                <w:sz w:val="16"/>
              </w:rPr>
              <w:t>128</w:t>
            </w:r>
          </w:p>
        </w:tc>
        <w:tc>
          <w:tcPr>
            <w:tcW w:w="1215" w:type="dxa"/>
            <w:noWrap/>
          </w:tcPr>
          <w:p w14:paraId="7645EFCF" w14:textId="77777777" w:rsidR="00A37447" w:rsidRDefault="00A37447">
            <w:pPr>
              <w:keepNext/>
              <w:spacing w:after="20"/>
              <w:jc w:val="right"/>
            </w:pPr>
            <w:r>
              <w:rPr>
                <w:sz w:val="16"/>
              </w:rPr>
              <w:t>194</w:t>
            </w:r>
          </w:p>
        </w:tc>
        <w:tc>
          <w:tcPr>
            <w:tcW w:w="1215" w:type="dxa"/>
            <w:noWrap/>
          </w:tcPr>
          <w:p w14:paraId="740DDBEC" w14:textId="77777777" w:rsidR="00A37447" w:rsidRDefault="00A37447">
            <w:pPr>
              <w:keepNext/>
              <w:spacing w:after="20"/>
              <w:jc w:val="right"/>
            </w:pPr>
            <w:r>
              <w:rPr>
                <w:sz w:val="16"/>
              </w:rPr>
              <w:t>244</w:t>
            </w:r>
          </w:p>
        </w:tc>
        <w:tc>
          <w:tcPr>
            <w:tcW w:w="1215" w:type="dxa"/>
            <w:noWrap/>
          </w:tcPr>
          <w:p w14:paraId="52BAD329" w14:textId="77777777" w:rsidR="00A37447" w:rsidRDefault="00A37447">
            <w:pPr>
              <w:keepNext/>
              <w:spacing w:after="20"/>
              <w:jc w:val="right"/>
            </w:pPr>
            <w:r>
              <w:rPr>
                <w:sz w:val="16"/>
              </w:rPr>
              <w:t>270</w:t>
            </w:r>
          </w:p>
        </w:tc>
        <w:tc>
          <w:tcPr>
            <w:tcW w:w="1215" w:type="dxa"/>
            <w:noWrap/>
          </w:tcPr>
          <w:p w14:paraId="6443B16C" w14:textId="77777777" w:rsidR="00A37447" w:rsidRDefault="00A37447">
            <w:pPr>
              <w:keepNext/>
              <w:spacing w:after="20"/>
              <w:jc w:val="right"/>
            </w:pPr>
            <w:r>
              <w:rPr>
                <w:sz w:val="16"/>
              </w:rPr>
              <w:t>294</w:t>
            </w:r>
          </w:p>
        </w:tc>
        <w:tc>
          <w:tcPr>
            <w:tcW w:w="1215" w:type="dxa"/>
            <w:noWrap/>
          </w:tcPr>
          <w:p w14:paraId="13FA5ACC" w14:textId="77777777" w:rsidR="00A37447" w:rsidRDefault="00A37447">
            <w:pPr>
              <w:keepNext/>
              <w:spacing w:after="20"/>
              <w:jc w:val="right"/>
            </w:pPr>
            <w:r>
              <w:rPr>
                <w:sz w:val="16"/>
              </w:rPr>
              <w:t>8,8 %</w:t>
            </w:r>
          </w:p>
        </w:tc>
      </w:tr>
      <w:tr w:rsidR="00855697" w14:paraId="6EDFA4A4" w14:textId="77777777">
        <w:trPr>
          <w:cantSplit/>
        </w:trPr>
        <w:tc>
          <w:tcPr>
            <w:tcW w:w="1215" w:type="dxa"/>
            <w:noWrap/>
          </w:tcPr>
          <w:p w14:paraId="116F37E8" w14:textId="77777777" w:rsidR="00A37447" w:rsidRDefault="00A37447">
            <w:pPr>
              <w:keepNext/>
              <w:spacing w:after="20"/>
            </w:pPr>
            <w:r>
              <w:rPr>
                <w:sz w:val="17"/>
              </w:rPr>
              <w:t>Patrimonio</w:t>
            </w:r>
          </w:p>
        </w:tc>
        <w:tc>
          <w:tcPr>
            <w:tcW w:w="1215" w:type="dxa"/>
            <w:noWrap/>
          </w:tcPr>
          <w:p w14:paraId="72C07EBE" w14:textId="77777777" w:rsidR="00A37447" w:rsidRDefault="00A37447">
            <w:pPr>
              <w:keepNext/>
              <w:spacing w:after="20"/>
              <w:jc w:val="right"/>
            </w:pPr>
            <w:r>
              <w:rPr>
                <w:sz w:val="16"/>
              </w:rPr>
              <w:t>96</w:t>
            </w:r>
          </w:p>
        </w:tc>
        <w:tc>
          <w:tcPr>
            <w:tcW w:w="1215" w:type="dxa"/>
            <w:noWrap/>
          </w:tcPr>
          <w:p w14:paraId="5DCB3974" w14:textId="77777777" w:rsidR="00A37447" w:rsidRDefault="00A37447">
            <w:pPr>
              <w:keepNext/>
              <w:spacing w:after="20"/>
              <w:jc w:val="right"/>
            </w:pPr>
            <w:r>
              <w:rPr>
                <w:sz w:val="16"/>
              </w:rPr>
              <w:t>138</w:t>
            </w:r>
          </w:p>
        </w:tc>
        <w:tc>
          <w:tcPr>
            <w:tcW w:w="1215" w:type="dxa"/>
            <w:noWrap/>
          </w:tcPr>
          <w:p w14:paraId="58680FD9" w14:textId="77777777" w:rsidR="00A37447" w:rsidRDefault="00A37447">
            <w:pPr>
              <w:keepNext/>
              <w:spacing w:after="20"/>
              <w:jc w:val="right"/>
            </w:pPr>
            <w:r>
              <w:rPr>
                <w:sz w:val="16"/>
              </w:rPr>
              <w:t>152</w:t>
            </w:r>
          </w:p>
        </w:tc>
        <w:tc>
          <w:tcPr>
            <w:tcW w:w="1215" w:type="dxa"/>
            <w:noWrap/>
          </w:tcPr>
          <w:p w14:paraId="2B34E993" w14:textId="77777777" w:rsidR="00A37447" w:rsidRDefault="00A37447">
            <w:pPr>
              <w:keepNext/>
              <w:spacing w:after="20"/>
              <w:jc w:val="right"/>
            </w:pPr>
            <w:r>
              <w:rPr>
                <w:sz w:val="16"/>
              </w:rPr>
              <w:t>169</w:t>
            </w:r>
          </w:p>
        </w:tc>
        <w:tc>
          <w:tcPr>
            <w:tcW w:w="1215" w:type="dxa"/>
            <w:noWrap/>
          </w:tcPr>
          <w:p w14:paraId="27F17BE7" w14:textId="77777777" w:rsidR="00A37447" w:rsidRDefault="00A37447">
            <w:pPr>
              <w:keepNext/>
              <w:spacing w:after="20"/>
              <w:jc w:val="right"/>
            </w:pPr>
            <w:r>
              <w:rPr>
                <w:sz w:val="16"/>
              </w:rPr>
              <w:t>189</w:t>
            </w:r>
          </w:p>
        </w:tc>
        <w:tc>
          <w:tcPr>
            <w:tcW w:w="1215" w:type="dxa"/>
            <w:noWrap/>
          </w:tcPr>
          <w:p w14:paraId="762B1C0A" w14:textId="77777777" w:rsidR="00A37447" w:rsidRDefault="00A37447">
            <w:pPr>
              <w:keepNext/>
              <w:spacing w:after="20"/>
              <w:jc w:val="right"/>
            </w:pPr>
            <w:r>
              <w:rPr>
                <w:sz w:val="16"/>
              </w:rPr>
              <w:t>11,3 %</w:t>
            </w:r>
          </w:p>
        </w:tc>
      </w:tr>
      <w:tr w:rsidR="00855697" w14:paraId="2C66A67F" w14:textId="77777777">
        <w:trPr>
          <w:cantSplit/>
        </w:trPr>
        <w:tc>
          <w:tcPr>
            <w:tcW w:w="1215" w:type="dxa"/>
          </w:tcPr>
          <w:p w14:paraId="14BC0EE8" w14:textId="77777777" w:rsidR="00A37447" w:rsidRDefault="00A37447">
            <w:pPr>
              <w:keepNext/>
              <w:spacing w:after="20"/>
            </w:pPr>
            <w:r>
              <w:rPr>
                <w:sz w:val="17"/>
              </w:rPr>
              <w:t>Ingreso operacional</w:t>
            </w:r>
          </w:p>
        </w:tc>
        <w:tc>
          <w:tcPr>
            <w:tcW w:w="1215" w:type="dxa"/>
            <w:noWrap/>
          </w:tcPr>
          <w:p w14:paraId="0D94A058" w14:textId="77777777" w:rsidR="00A37447" w:rsidRDefault="00A37447">
            <w:pPr>
              <w:keepNext/>
              <w:spacing w:after="20"/>
              <w:jc w:val="right"/>
            </w:pPr>
            <w:r>
              <w:rPr>
                <w:sz w:val="16"/>
              </w:rPr>
              <w:t>165</w:t>
            </w:r>
          </w:p>
        </w:tc>
        <w:tc>
          <w:tcPr>
            <w:tcW w:w="1215" w:type="dxa"/>
            <w:noWrap/>
          </w:tcPr>
          <w:p w14:paraId="19D7FD14" w14:textId="77777777" w:rsidR="00A37447" w:rsidRDefault="00A37447">
            <w:pPr>
              <w:keepNext/>
              <w:spacing w:after="20"/>
              <w:jc w:val="right"/>
            </w:pPr>
            <w:r>
              <w:rPr>
                <w:sz w:val="16"/>
              </w:rPr>
              <w:t>120</w:t>
            </w:r>
          </w:p>
        </w:tc>
        <w:tc>
          <w:tcPr>
            <w:tcW w:w="1215" w:type="dxa"/>
            <w:noWrap/>
          </w:tcPr>
          <w:p w14:paraId="0E14A915" w14:textId="77777777" w:rsidR="00A37447" w:rsidRDefault="00A37447">
            <w:pPr>
              <w:keepNext/>
              <w:spacing w:after="20"/>
              <w:jc w:val="right"/>
            </w:pPr>
            <w:r>
              <w:rPr>
                <w:sz w:val="16"/>
              </w:rPr>
              <w:t>81</w:t>
            </w:r>
          </w:p>
        </w:tc>
        <w:tc>
          <w:tcPr>
            <w:tcW w:w="1215" w:type="dxa"/>
            <w:noWrap/>
          </w:tcPr>
          <w:p w14:paraId="49A742AD" w14:textId="77777777" w:rsidR="00A37447" w:rsidRDefault="00A37447">
            <w:pPr>
              <w:keepNext/>
              <w:spacing w:after="20"/>
              <w:jc w:val="right"/>
            </w:pPr>
            <w:r>
              <w:rPr>
                <w:sz w:val="16"/>
              </w:rPr>
              <w:t>96</w:t>
            </w:r>
          </w:p>
        </w:tc>
        <w:tc>
          <w:tcPr>
            <w:tcW w:w="1215" w:type="dxa"/>
            <w:noWrap/>
          </w:tcPr>
          <w:p w14:paraId="30B5BB98" w14:textId="77777777" w:rsidR="00A37447" w:rsidRDefault="00A37447">
            <w:pPr>
              <w:keepNext/>
              <w:spacing w:after="20"/>
              <w:jc w:val="right"/>
            </w:pPr>
            <w:r>
              <w:rPr>
                <w:sz w:val="16"/>
              </w:rPr>
              <w:t>56</w:t>
            </w:r>
          </w:p>
        </w:tc>
        <w:tc>
          <w:tcPr>
            <w:tcW w:w="1215" w:type="dxa"/>
            <w:noWrap/>
          </w:tcPr>
          <w:p w14:paraId="46EA7A67" w14:textId="77777777" w:rsidR="00A37447" w:rsidRDefault="00A37447">
            <w:pPr>
              <w:keepNext/>
              <w:spacing w:after="20"/>
              <w:jc w:val="right"/>
            </w:pPr>
            <w:r>
              <w:rPr>
                <w:sz w:val="16"/>
              </w:rPr>
              <w:t>-41,7 %</w:t>
            </w:r>
          </w:p>
        </w:tc>
      </w:tr>
      <w:tr w:rsidR="00855697" w14:paraId="74590183" w14:textId="77777777">
        <w:trPr>
          <w:cantSplit/>
        </w:trPr>
        <w:tc>
          <w:tcPr>
            <w:tcW w:w="1215" w:type="dxa"/>
          </w:tcPr>
          <w:p w14:paraId="790E313F" w14:textId="77777777" w:rsidR="00A37447" w:rsidRDefault="00A37447">
            <w:pPr>
              <w:keepNext/>
              <w:spacing w:after="20"/>
            </w:pPr>
            <w:r>
              <w:rPr>
                <w:sz w:val="17"/>
              </w:rPr>
              <w:t>Utilidad operacional</w:t>
            </w:r>
          </w:p>
        </w:tc>
        <w:tc>
          <w:tcPr>
            <w:tcW w:w="1215" w:type="dxa"/>
            <w:noWrap/>
          </w:tcPr>
          <w:p w14:paraId="3084394B" w14:textId="77777777" w:rsidR="00A37447" w:rsidRDefault="00A37447">
            <w:pPr>
              <w:keepNext/>
              <w:spacing w:after="20"/>
              <w:jc w:val="right"/>
            </w:pPr>
            <w:r>
              <w:rPr>
                <w:sz w:val="16"/>
              </w:rPr>
              <w:t>75</w:t>
            </w:r>
          </w:p>
        </w:tc>
        <w:tc>
          <w:tcPr>
            <w:tcW w:w="1215" w:type="dxa"/>
            <w:noWrap/>
          </w:tcPr>
          <w:p w14:paraId="5B96D261" w14:textId="77777777" w:rsidR="00A37447" w:rsidRDefault="00A37447">
            <w:pPr>
              <w:keepNext/>
              <w:spacing w:after="20"/>
              <w:jc w:val="right"/>
            </w:pPr>
            <w:r>
              <w:rPr>
                <w:sz w:val="16"/>
              </w:rPr>
              <w:t>51</w:t>
            </w:r>
          </w:p>
        </w:tc>
        <w:tc>
          <w:tcPr>
            <w:tcW w:w="1215" w:type="dxa"/>
            <w:noWrap/>
          </w:tcPr>
          <w:p w14:paraId="4411AECD" w14:textId="77777777" w:rsidR="00A37447" w:rsidRDefault="00A37447">
            <w:pPr>
              <w:keepNext/>
              <w:spacing w:after="20"/>
              <w:jc w:val="right"/>
            </w:pPr>
            <w:r>
              <w:rPr>
                <w:sz w:val="16"/>
              </w:rPr>
              <w:t>31</w:t>
            </w:r>
          </w:p>
        </w:tc>
        <w:tc>
          <w:tcPr>
            <w:tcW w:w="1215" w:type="dxa"/>
            <w:noWrap/>
          </w:tcPr>
          <w:p w14:paraId="756BC6F6" w14:textId="77777777" w:rsidR="00A37447" w:rsidRDefault="00A37447">
            <w:pPr>
              <w:keepNext/>
              <w:spacing w:after="20"/>
              <w:jc w:val="right"/>
            </w:pPr>
            <w:r>
              <w:rPr>
                <w:sz w:val="16"/>
              </w:rPr>
              <w:t>39</w:t>
            </w:r>
          </w:p>
        </w:tc>
        <w:tc>
          <w:tcPr>
            <w:tcW w:w="1215" w:type="dxa"/>
            <w:noWrap/>
          </w:tcPr>
          <w:p w14:paraId="42BCB910" w14:textId="77777777" w:rsidR="00A37447" w:rsidRDefault="00A37447">
            <w:pPr>
              <w:keepNext/>
              <w:spacing w:after="20"/>
              <w:jc w:val="right"/>
            </w:pPr>
            <w:r>
              <w:rPr>
                <w:sz w:val="16"/>
              </w:rPr>
              <w:t>39</w:t>
            </w:r>
          </w:p>
        </w:tc>
        <w:tc>
          <w:tcPr>
            <w:tcW w:w="1215" w:type="dxa"/>
            <w:noWrap/>
          </w:tcPr>
          <w:p w14:paraId="5D1471A7" w14:textId="77777777" w:rsidR="00A37447" w:rsidRDefault="00A37447">
            <w:pPr>
              <w:keepNext/>
              <w:spacing w:after="20"/>
              <w:jc w:val="right"/>
            </w:pPr>
            <w:r>
              <w:rPr>
                <w:sz w:val="16"/>
              </w:rPr>
              <w:t>0,9 %</w:t>
            </w:r>
          </w:p>
        </w:tc>
      </w:tr>
      <w:tr w:rsidR="00855697" w14:paraId="56883F5B" w14:textId="77777777">
        <w:trPr>
          <w:cantSplit/>
        </w:trPr>
        <w:tc>
          <w:tcPr>
            <w:tcW w:w="1215" w:type="dxa"/>
          </w:tcPr>
          <w:p w14:paraId="159BE35F" w14:textId="77777777" w:rsidR="00A37447" w:rsidRDefault="00A37447">
            <w:pPr>
              <w:keepNext/>
              <w:spacing w:after="20"/>
            </w:pPr>
            <w:r>
              <w:rPr>
                <w:sz w:val="17"/>
              </w:rPr>
              <w:t>Utilidad neta</w:t>
            </w:r>
          </w:p>
        </w:tc>
        <w:tc>
          <w:tcPr>
            <w:tcW w:w="1215" w:type="dxa"/>
            <w:noWrap/>
          </w:tcPr>
          <w:p w14:paraId="186E72D4" w14:textId="77777777" w:rsidR="00A37447" w:rsidRDefault="00A37447">
            <w:pPr>
              <w:keepNext/>
              <w:spacing w:after="20"/>
              <w:jc w:val="right"/>
            </w:pPr>
            <w:r>
              <w:rPr>
                <w:sz w:val="16"/>
              </w:rPr>
              <w:t>53</w:t>
            </w:r>
          </w:p>
        </w:tc>
        <w:tc>
          <w:tcPr>
            <w:tcW w:w="1215" w:type="dxa"/>
            <w:noWrap/>
          </w:tcPr>
          <w:p w14:paraId="6037F526" w14:textId="77777777" w:rsidR="00A37447" w:rsidRDefault="00A37447">
            <w:pPr>
              <w:keepNext/>
              <w:spacing w:after="20"/>
              <w:jc w:val="right"/>
            </w:pPr>
            <w:r>
              <w:rPr>
                <w:sz w:val="16"/>
              </w:rPr>
              <w:t>35</w:t>
            </w:r>
          </w:p>
        </w:tc>
        <w:tc>
          <w:tcPr>
            <w:tcW w:w="1215" w:type="dxa"/>
            <w:noWrap/>
          </w:tcPr>
          <w:p w14:paraId="5DC48D3E" w14:textId="77777777" w:rsidR="00A37447" w:rsidRDefault="00A37447">
            <w:pPr>
              <w:keepNext/>
              <w:spacing w:after="20"/>
              <w:jc w:val="right"/>
            </w:pPr>
            <w:r>
              <w:rPr>
                <w:sz w:val="16"/>
              </w:rPr>
              <w:t>14</w:t>
            </w:r>
          </w:p>
        </w:tc>
        <w:tc>
          <w:tcPr>
            <w:tcW w:w="1215" w:type="dxa"/>
            <w:noWrap/>
          </w:tcPr>
          <w:p w14:paraId="586B6694" w14:textId="77777777" w:rsidR="00A37447" w:rsidRDefault="00A37447">
            <w:pPr>
              <w:keepNext/>
              <w:spacing w:after="20"/>
              <w:jc w:val="right"/>
            </w:pPr>
            <w:r>
              <w:rPr>
                <w:sz w:val="16"/>
              </w:rPr>
              <w:t>17</w:t>
            </w:r>
          </w:p>
        </w:tc>
        <w:tc>
          <w:tcPr>
            <w:tcW w:w="1215" w:type="dxa"/>
            <w:noWrap/>
          </w:tcPr>
          <w:p w14:paraId="2B4B1A8D" w14:textId="77777777" w:rsidR="00A37447" w:rsidRDefault="00A37447">
            <w:pPr>
              <w:keepNext/>
              <w:spacing w:after="20"/>
              <w:jc w:val="right"/>
            </w:pPr>
            <w:r>
              <w:rPr>
                <w:sz w:val="16"/>
              </w:rPr>
              <w:t>19</w:t>
            </w:r>
          </w:p>
        </w:tc>
        <w:tc>
          <w:tcPr>
            <w:tcW w:w="1215" w:type="dxa"/>
            <w:noWrap/>
          </w:tcPr>
          <w:p w14:paraId="7B466471" w14:textId="77777777" w:rsidR="00A37447" w:rsidRDefault="00A37447">
            <w:pPr>
              <w:keepNext/>
              <w:spacing w:after="20"/>
              <w:jc w:val="right"/>
            </w:pPr>
            <w:r>
              <w:rPr>
                <w:sz w:val="16"/>
              </w:rPr>
              <w:t>14,0 %</w:t>
            </w:r>
          </w:p>
        </w:tc>
      </w:tr>
      <w:tr w:rsidR="00855697" w14:paraId="71E6BF1B" w14:textId="77777777">
        <w:trPr>
          <w:cantSplit/>
        </w:trPr>
        <w:tc>
          <w:tcPr>
            <w:tcW w:w="1215" w:type="dxa"/>
            <w:noWrap/>
          </w:tcPr>
          <w:p w14:paraId="43F36D16" w14:textId="17F032CA" w:rsidR="00A37447" w:rsidRDefault="00000000">
            <w:pPr>
              <w:keepNext/>
              <w:spacing w:after="20"/>
            </w:pPr>
            <w:r>
              <w:rPr>
                <w:sz w:val="17"/>
              </w:rPr>
              <w:t>Ebitda</w:t>
            </w:r>
          </w:p>
        </w:tc>
        <w:tc>
          <w:tcPr>
            <w:tcW w:w="1215" w:type="dxa"/>
            <w:noWrap/>
          </w:tcPr>
          <w:p w14:paraId="6CACB576" w14:textId="77777777" w:rsidR="00A37447" w:rsidRDefault="00A37447">
            <w:pPr>
              <w:keepNext/>
              <w:spacing w:after="20"/>
              <w:jc w:val="right"/>
            </w:pPr>
            <w:r>
              <w:rPr>
                <w:sz w:val="16"/>
              </w:rPr>
              <w:t>54</w:t>
            </w:r>
          </w:p>
        </w:tc>
        <w:tc>
          <w:tcPr>
            <w:tcW w:w="1215" w:type="dxa"/>
            <w:noWrap/>
          </w:tcPr>
          <w:p w14:paraId="38BA7338" w14:textId="77777777" w:rsidR="00A37447" w:rsidRDefault="00A37447">
            <w:pPr>
              <w:keepNext/>
              <w:spacing w:after="20"/>
              <w:jc w:val="right"/>
            </w:pPr>
            <w:r>
              <w:rPr>
                <w:sz w:val="16"/>
              </w:rPr>
              <w:t>54</w:t>
            </w:r>
          </w:p>
        </w:tc>
        <w:tc>
          <w:tcPr>
            <w:tcW w:w="1215" w:type="dxa"/>
            <w:noWrap/>
          </w:tcPr>
          <w:p w14:paraId="63E2EEDA" w14:textId="77777777" w:rsidR="00A37447" w:rsidRDefault="00A37447">
            <w:pPr>
              <w:keepNext/>
              <w:spacing w:after="20"/>
              <w:jc w:val="right"/>
            </w:pPr>
            <w:r>
              <w:rPr>
                <w:sz w:val="16"/>
              </w:rPr>
              <w:t>36</w:t>
            </w:r>
          </w:p>
        </w:tc>
        <w:tc>
          <w:tcPr>
            <w:tcW w:w="1215" w:type="dxa"/>
            <w:noWrap/>
          </w:tcPr>
          <w:p w14:paraId="13F2144A" w14:textId="77777777" w:rsidR="00A37447" w:rsidRDefault="00A37447">
            <w:pPr>
              <w:keepNext/>
              <w:spacing w:after="20"/>
              <w:jc w:val="right"/>
            </w:pPr>
            <w:r>
              <w:rPr>
                <w:sz w:val="16"/>
              </w:rPr>
              <w:t>45</w:t>
            </w:r>
          </w:p>
        </w:tc>
        <w:tc>
          <w:tcPr>
            <w:tcW w:w="1215" w:type="dxa"/>
            <w:noWrap/>
          </w:tcPr>
          <w:p w14:paraId="49010E5C" w14:textId="77777777" w:rsidR="00A37447" w:rsidRDefault="00A37447">
            <w:pPr>
              <w:keepNext/>
              <w:spacing w:after="20"/>
              <w:jc w:val="right"/>
            </w:pPr>
            <w:r>
              <w:rPr>
                <w:sz w:val="16"/>
              </w:rPr>
              <w:t>47</w:t>
            </w:r>
          </w:p>
        </w:tc>
        <w:tc>
          <w:tcPr>
            <w:tcW w:w="1215" w:type="dxa"/>
            <w:noWrap/>
          </w:tcPr>
          <w:p w14:paraId="4890B118" w14:textId="77777777" w:rsidR="00A37447" w:rsidRDefault="00A37447">
            <w:pPr>
              <w:keepNext/>
              <w:spacing w:after="20"/>
              <w:jc w:val="right"/>
            </w:pPr>
            <w:r>
              <w:rPr>
                <w:sz w:val="16"/>
              </w:rPr>
              <w:t>3,4 %</w:t>
            </w:r>
          </w:p>
        </w:tc>
      </w:tr>
    </w:tbl>
    <w:p w14:paraId="3C3E6366" w14:textId="77777777" w:rsidR="00A37447" w:rsidRPr="0036111A" w:rsidRDefault="00A37447">
      <w:pPr>
        <w:keepLines/>
        <w:spacing w:before="40"/>
        <w:jc w:val="right"/>
        <w:rPr>
          <w:lang w:val="es-PE"/>
        </w:rPr>
      </w:pPr>
      <w:r w:rsidRPr="0036111A">
        <w:rPr>
          <w:b/>
          <w:color w:val="404040"/>
          <w:sz w:val="15"/>
          <w:lang w:val="es-PE"/>
        </w:rPr>
        <w:t>FUENTE: Empresas del sector, APOYO Consultoría</w:t>
      </w:r>
    </w:p>
    <w:p w14:paraId="40780BCF" w14:textId="74D93B95" w:rsidR="00A37447" w:rsidRDefault="00A37447">
      <w:pPr>
        <w:spacing w:before="160"/>
        <w:jc w:val="center"/>
      </w:pPr>
      <w:r>
        <w:rPr>
          <w:noProof/>
        </w:rPr>
        <w:drawing>
          <wp:inline distT="0" distB="0" distL="0" distR="0" wp14:anchorId="49081AD3" wp14:editId="56F9FCFF">
            <wp:extent cx="5400000" cy="3370130"/>
            <wp:effectExtent l="0" t="0" r="0" b="0"/>
            <wp:docPr id="2110891828" name="Imagen 211089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77.png"/>
                    <pic:cNvPicPr/>
                  </pic:nvPicPr>
                  <pic:blipFill>
                    <a:blip r:embed="rId90"/>
                    <a:stretch>
                      <a:fillRect/>
                    </a:stretch>
                  </pic:blipFill>
                  <pic:spPr>
                    <a:xfrm>
                      <a:off x="0" y="0"/>
                      <a:ext cx="5400000" cy="3370130"/>
                    </a:xfrm>
                    <a:prstGeom prst="rect">
                      <a:avLst/>
                    </a:prstGeom>
                  </pic:spPr>
                </pic:pic>
              </a:graphicData>
            </a:graphic>
          </wp:inline>
        </w:drawing>
      </w:r>
    </w:p>
    <w:p w14:paraId="5C5E2C1E" w14:textId="4CCFB8EA" w:rsidR="00C75A27" w:rsidRDefault="00D4093E">
      <w:pPr>
        <w:spacing w:before="160"/>
        <w:jc w:val="center"/>
      </w:pPr>
      <w:r>
        <w:rPr>
          <w:noProof/>
        </w:rPr>
        <w:lastRenderedPageBreak/>
        <w:drawing>
          <wp:inline distT="0" distB="0" distL="0" distR="0" wp14:anchorId="4F6BB580" wp14:editId="721EDACB">
            <wp:extent cx="5400000" cy="3405195"/>
            <wp:effectExtent l="0" t="0" r="0" b="0"/>
            <wp:docPr id="2110891829" name="Imagen 211089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78.png"/>
                    <pic:cNvPicPr/>
                  </pic:nvPicPr>
                  <pic:blipFill>
                    <a:blip r:embed="rId91"/>
                    <a:stretch>
                      <a:fillRect/>
                    </a:stretch>
                  </pic:blipFill>
                  <pic:spPr>
                    <a:xfrm>
                      <a:off x="0" y="0"/>
                      <a:ext cx="5400000" cy="3405195"/>
                    </a:xfrm>
                    <a:prstGeom prst="rect">
                      <a:avLst/>
                    </a:prstGeom>
                  </pic:spPr>
                </pic:pic>
              </a:graphicData>
            </a:graphic>
          </wp:inline>
        </w:drawing>
      </w:r>
    </w:p>
    <w:p w14:paraId="5869D02D" w14:textId="77777777" w:rsidR="00A37447" w:rsidRDefault="00A37447">
      <w:r>
        <w:br w:type="page"/>
      </w:r>
    </w:p>
    <w:p w14:paraId="64CEFC83" w14:textId="77777777" w:rsidR="002B7C86" w:rsidRPr="0078313E" w:rsidRDefault="00D83036">
      <w:pPr>
        <w:pStyle w:val="Ttulo1"/>
        <w:pageBreakBefore/>
        <w:rPr>
          <w:lang w:val="es-PE"/>
        </w:rPr>
      </w:pPr>
      <w:bookmarkStart w:id="35" w:name="_Idx_4"/>
      <w:r w:rsidRPr="0078313E">
        <w:rPr>
          <w:lang w:val="es-PE"/>
        </w:rPr>
        <w:lastRenderedPageBreak/>
        <w:t>4. Avances en la masificación del gas natural en el Perú</w:t>
      </w:r>
      <w:bookmarkEnd w:id="35"/>
    </w:p>
    <w:p w14:paraId="7B43B161" w14:textId="57F5D787" w:rsidR="007A7FEE" w:rsidRDefault="00D83036">
      <w:pPr>
        <w:keepLines/>
        <w:rPr>
          <w:lang w:val="es-PE"/>
        </w:rPr>
      </w:pPr>
      <w:r w:rsidRPr="0078313E">
        <w:rPr>
          <w:highlight w:val="yellow"/>
          <w:lang w:val="es-PE"/>
        </w:rPr>
        <w:t>Para las familias y las empresas que operan en el Perú, el gas natural significa, ante todo, un ahorro sustancial y un suministro seguro. En Lima y Callao, un hogar conectado a la red paga por su energía menos de la cuarta parte de lo que cuesta la electricidad equivalente. Frente al balón de gas licuado de petróleo (GLP), además, accede a un precio más estable, pues el gas natural se produce localmente y no sigue los vaivenes del precio internacional del petróleo. Un vehículo convertido a gas natural vehicular (GNV) opera con un combustible que cuesta menos de un tercio de lo que cuesta la gasolina, y una industria conectada accede a una energía más de cuatro veces más barata que el petróleo industrial.</w:t>
      </w:r>
      <w:r w:rsidRPr="0078313E">
        <w:rPr>
          <w:vertAlign w:val="superscript"/>
          <w:lang w:val="es-PE"/>
        </w:rPr>
        <w:footnoteReference w:id="1"/>
      </w:r>
      <w:r w:rsidRPr="0078313E">
        <w:rPr>
          <w:highlight w:val="yellow"/>
          <w:lang w:val="es-PE"/>
        </w:rPr>
        <w:t xml:space="preserve"> A los beneficios económicos se suman los ambientales y operativos: es el más limpio de los combustibles fósiles y llega de manera continua, por red, hasta el hogar o la planta.</w:t>
      </w:r>
    </w:p>
    <w:p w14:paraId="48B82CD3" w14:textId="72F9FBF4" w:rsidR="00180FC4" w:rsidRDefault="00D83036">
      <w:pPr>
        <w:keepLines/>
        <w:rPr>
          <w:lang w:val="es-PE"/>
        </w:rPr>
      </w:pPr>
      <w:r w:rsidRPr="0078313E">
        <w:rPr>
          <w:lang w:val="es-PE"/>
        </w:rPr>
        <w:t>El país, además, tiene con qué extender estos beneficios a muchos más peruanos. El Perú produce más gas del que consume: en los últimos años, alrededor de una quinta parte del gas extraído se reinyectó a los yacimientos por falta de demanda interna. Solo en 2025 se reinyectaron unos 230 millones de pies cúbicos diarios (MMpcd), más de cinco veces todo el gas que consumen los hogares y comercios del país. Masificar el gas natural es, por eso, mucho más que una política social: es la manera de aprovechar una capacidad de producción ya disponible</w:t>
      </w:r>
      <w:r>
        <w:rPr>
          <w:lang w:val="es-PE"/>
        </w:rPr>
        <w:t>,</w:t>
      </w:r>
      <w:r w:rsidRPr="0078313E">
        <w:rPr>
          <w:lang w:val="es-PE"/>
        </w:rPr>
        <w:t xml:space="preserve"> que hoy se devuelve al subsuelo.</w:t>
      </w:r>
    </w:p>
    <w:p w14:paraId="1CC9AE0A" w14:textId="0B6103B7" w:rsidR="00833388" w:rsidRPr="0078313E" w:rsidRDefault="00D83036">
      <w:pPr>
        <w:keepLines/>
        <w:rPr>
          <w:lang w:val="es-PE"/>
        </w:rPr>
      </w:pPr>
      <w:r w:rsidRPr="0078313E">
        <w:rPr>
          <w:lang w:val="es-PE"/>
        </w:rPr>
        <w:t>Esta sección hace un balance de ese proceso en dos planos. Primero, los grandes números de 2025, junto con los motores que impulsan la masificación. El año creció menos que los anteriores por tres razones que la sección examina: la concesión de Lima y Callao maduró, las revisiones tarifarias frenaron el tendido de redes y el financiamiento público de conexiones se replegó. Luego, los grandes hitos del último año: el gas natural llegando a más servicios públicos y hogares vulnerables, ganando espacio en el transporte, y consolidando la oferta, la infraestructura y las reglas que sostienen el sistema.</w:t>
      </w:r>
    </w:p>
    <w:p w14:paraId="4608F29C" w14:textId="77777777" w:rsidR="002B7C86" w:rsidRPr="0078313E" w:rsidRDefault="00D83036">
      <w:pPr>
        <w:pStyle w:val="Ttulo2"/>
        <w:rPr>
          <w:lang w:val="es-PE"/>
        </w:rPr>
      </w:pPr>
      <w:bookmarkStart w:id="36" w:name="_Idx_4_1"/>
      <w:r w:rsidRPr="0078313E">
        <w:rPr>
          <w:lang w:val="es-PE"/>
        </w:rPr>
        <w:t>4.1. Los grandes números de 2025 y los motores de la masificación</w:t>
      </w:r>
      <w:bookmarkEnd w:id="36"/>
    </w:p>
    <w:p w14:paraId="0E2C7CF5" w14:textId="649A2719" w:rsidR="00833388" w:rsidRDefault="00D83036">
      <w:pPr>
        <w:keepLines/>
        <w:rPr>
          <w:lang w:val="es-PE"/>
        </w:rPr>
      </w:pPr>
      <w:r w:rsidRPr="0078313E">
        <w:rPr>
          <w:lang w:val="es-PE"/>
        </w:rPr>
        <w:t>La masificación del gas natural volvió a avanzar en 2025. Al cierre del año, cerca de 2,6 millones de hogares, comercios, industrias y otros usuarios contaban con una conexión de gas natural, 147 mil más que el año anterior. Uno de cada cuatro peruanos ya vive en un hogar con acceso al servicio. El ritmo de expansión, no obstante, fue menor que el de años previos. Tres factores lo explican: la madurez que alcanzó la concesión de Lima y Callao, donde la cobertura ya es alta y cada conexión adicional cuesta más; las revisiones tarifarias que frenaron la expansión de redes en las concesiones del norte y de Ica</w:t>
      </w:r>
      <w:r>
        <w:rPr>
          <w:lang w:val="es-PE"/>
        </w:rPr>
        <w:t>,</w:t>
      </w:r>
      <w:r w:rsidRPr="0078313E">
        <w:rPr>
          <w:lang w:val="es-PE"/>
        </w:rPr>
        <w:t xml:space="preserve"> y el repliegue transitorio del financiamiento público de conexiones.</w:t>
      </w:r>
    </w:p>
    <w:p w14:paraId="6B3B23CA" w14:textId="77777777" w:rsidR="008F3410" w:rsidRDefault="008F3410">
      <w:pPr>
        <w:keepNext/>
        <w:rPr>
          <w:lang w:val="es-PE"/>
        </w:rPr>
      </w:pPr>
    </w:p>
    <w:p w14:paraId="7FEB6C5C" w14:textId="77777777" w:rsidR="002B7C86" w:rsidRPr="0078313E" w:rsidRDefault="00D83036">
      <w:pPr>
        <w:keepNext/>
        <w:keepLines/>
        <w:spacing w:before="120" w:after="0"/>
        <w:jc w:val="center"/>
        <w:rPr>
          <w:lang w:val="es-PE"/>
        </w:rPr>
      </w:pPr>
      <w:r w:rsidRPr="0078313E">
        <w:rPr>
          <w:b/>
          <w:color w:val="15607F"/>
          <w:sz w:val="22"/>
          <w:lang w:val="es-PE"/>
        </w:rPr>
        <w:t>CLIENTES DE GAS NATURAL POR SEGMENTO</w:t>
      </w:r>
    </w:p>
    <w:p w14:paraId="05A8F7FE" w14:textId="77777777" w:rsidR="002B7C86" w:rsidRPr="0078313E" w:rsidRDefault="00D83036">
      <w:pPr>
        <w:keepNext/>
        <w:keepLines/>
        <w:spacing w:after="80"/>
        <w:jc w:val="center"/>
      </w:pPr>
      <w:r w:rsidRPr="0078313E">
        <w:rPr>
          <w:color w:val="595959"/>
          <w:sz w:val="18"/>
        </w:rPr>
        <w:t>Número de conexiones</w:t>
      </w:r>
    </w:p>
    <w:tbl>
      <w:tblPr>
        <w:tblW w:w="0" w:type="auto"/>
        <w:jc w:val="center"/>
        <w:tblLayout w:type="fixed"/>
        <w:tblLook w:val="04A0" w:firstRow="1" w:lastRow="0" w:firstColumn="1" w:lastColumn="0" w:noHBand="0" w:noVBand="1"/>
      </w:tblPr>
      <w:tblGrid>
        <w:gridCol w:w="1559"/>
        <w:gridCol w:w="1020"/>
        <w:gridCol w:w="1020"/>
        <w:gridCol w:w="1020"/>
        <w:gridCol w:w="1020"/>
        <w:gridCol w:w="1020"/>
        <w:gridCol w:w="907"/>
        <w:gridCol w:w="935"/>
      </w:tblGrid>
      <w:tr w:rsidR="002B7C86" w:rsidRPr="0078313E" w14:paraId="455CDDFB" w14:textId="77777777" w:rsidTr="00EB2741">
        <w:trPr>
          <w:cantSplit/>
          <w:jc w:val="center"/>
        </w:trPr>
        <w:tc>
          <w:tcPr>
            <w:tcW w:w="1559" w:type="dxa"/>
            <w:shd w:val="clear" w:color="auto" w:fill="1F3864"/>
            <w:vAlign w:val="center"/>
          </w:tcPr>
          <w:p w14:paraId="3E3E7469" w14:textId="77777777" w:rsidR="002B7C86" w:rsidRPr="0078313E" w:rsidRDefault="00D83036">
            <w:pPr>
              <w:keepNext/>
              <w:jc w:val="left"/>
            </w:pPr>
            <w:r w:rsidRPr="0078313E">
              <w:rPr>
                <w:b/>
                <w:color w:val="FFFFFF"/>
                <w:sz w:val="15"/>
              </w:rPr>
              <w:t>SECTOR</w:t>
            </w:r>
          </w:p>
        </w:tc>
        <w:tc>
          <w:tcPr>
            <w:tcW w:w="1020" w:type="dxa"/>
            <w:shd w:val="clear" w:color="auto" w:fill="1F3864"/>
            <w:vAlign w:val="center"/>
          </w:tcPr>
          <w:p w14:paraId="7D04AF44" w14:textId="77777777" w:rsidR="002B7C86" w:rsidRPr="0078313E" w:rsidRDefault="00D83036">
            <w:pPr>
              <w:keepNext/>
              <w:jc w:val="center"/>
            </w:pPr>
            <w:r w:rsidRPr="0078313E">
              <w:rPr>
                <w:b/>
                <w:color w:val="FFFFFF"/>
                <w:sz w:val="15"/>
              </w:rPr>
              <w:t>2021</w:t>
            </w:r>
          </w:p>
        </w:tc>
        <w:tc>
          <w:tcPr>
            <w:tcW w:w="1020" w:type="dxa"/>
            <w:shd w:val="clear" w:color="auto" w:fill="1F3864"/>
            <w:vAlign w:val="center"/>
          </w:tcPr>
          <w:p w14:paraId="37C4BCB7" w14:textId="77777777" w:rsidR="002B7C86" w:rsidRPr="0078313E" w:rsidRDefault="00D83036">
            <w:pPr>
              <w:keepNext/>
              <w:jc w:val="center"/>
            </w:pPr>
            <w:r w:rsidRPr="0078313E">
              <w:rPr>
                <w:b/>
                <w:color w:val="FFFFFF"/>
                <w:sz w:val="15"/>
              </w:rPr>
              <w:t>2022</w:t>
            </w:r>
          </w:p>
        </w:tc>
        <w:tc>
          <w:tcPr>
            <w:tcW w:w="1020" w:type="dxa"/>
            <w:shd w:val="clear" w:color="auto" w:fill="1F3864"/>
            <w:vAlign w:val="center"/>
          </w:tcPr>
          <w:p w14:paraId="11887972" w14:textId="77777777" w:rsidR="002B7C86" w:rsidRPr="0078313E" w:rsidRDefault="00D83036">
            <w:pPr>
              <w:keepNext/>
              <w:jc w:val="center"/>
            </w:pPr>
            <w:r w:rsidRPr="0078313E">
              <w:rPr>
                <w:b/>
                <w:color w:val="FFFFFF"/>
                <w:sz w:val="15"/>
              </w:rPr>
              <w:t>2023</w:t>
            </w:r>
          </w:p>
        </w:tc>
        <w:tc>
          <w:tcPr>
            <w:tcW w:w="1020" w:type="dxa"/>
            <w:shd w:val="clear" w:color="auto" w:fill="1F3864"/>
            <w:vAlign w:val="center"/>
          </w:tcPr>
          <w:p w14:paraId="3BA7D066" w14:textId="77777777" w:rsidR="002B7C86" w:rsidRPr="0078313E" w:rsidRDefault="00D83036">
            <w:pPr>
              <w:keepNext/>
              <w:jc w:val="center"/>
            </w:pPr>
            <w:r w:rsidRPr="0078313E">
              <w:rPr>
                <w:b/>
                <w:color w:val="FFFFFF"/>
                <w:sz w:val="15"/>
              </w:rPr>
              <w:t>2024</w:t>
            </w:r>
          </w:p>
        </w:tc>
        <w:tc>
          <w:tcPr>
            <w:tcW w:w="1020" w:type="dxa"/>
            <w:shd w:val="clear" w:color="auto" w:fill="1F3864"/>
            <w:vAlign w:val="center"/>
          </w:tcPr>
          <w:p w14:paraId="2FF2A58F" w14:textId="44770561" w:rsidR="002B7C86" w:rsidRPr="0078313E" w:rsidRDefault="00D83036">
            <w:pPr>
              <w:keepNext/>
              <w:jc w:val="center"/>
            </w:pPr>
            <w:r w:rsidRPr="0078313E">
              <w:rPr>
                <w:b/>
                <w:color w:val="FFFFFF"/>
                <w:sz w:val="15"/>
              </w:rPr>
              <w:t>2025</w:t>
            </w:r>
          </w:p>
        </w:tc>
        <w:tc>
          <w:tcPr>
            <w:tcW w:w="907" w:type="dxa"/>
            <w:shd w:val="clear" w:color="auto" w:fill="1F3864"/>
            <w:vAlign w:val="center"/>
          </w:tcPr>
          <w:p w14:paraId="0AC623E3" w14:textId="77777777" w:rsidR="002B7C86" w:rsidRPr="0078313E" w:rsidRDefault="00D83036">
            <w:pPr>
              <w:keepNext/>
              <w:jc w:val="center"/>
            </w:pPr>
            <w:r w:rsidRPr="0078313E">
              <w:rPr>
                <w:b/>
                <w:color w:val="FFFFFF"/>
                <w:sz w:val="15"/>
              </w:rPr>
              <w:t>Var. % 25/24</w:t>
            </w:r>
          </w:p>
        </w:tc>
        <w:tc>
          <w:tcPr>
            <w:tcW w:w="935" w:type="dxa"/>
            <w:shd w:val="clear" w:color="auto" w:fill="1F3864"/>
            <w:vAlign w:val="center"/>
          </w:tcPr>
          <w:p w14:paraId="6E5B7322" w14:textId="77777777" w:rsidR="002B7C86" w:rsidRPr="0078313E" w:rsidRDefault="00D83036">
            <w:pPr>
              <w:keepNext/>
              <w:jc w:val="center"/>
            </w:pPr>
            <w:r w:rsidRPr="0078313E">
              <w:rPr>
                <w:b/>
                <w:color w:val="FFFFFF"/>
                <w:sz w:val="15"/>
              </w:rPr>
              <w:t>TACC 21-25</w:t>
            </w:r>
          </w:p>
        </w:tc>
      </w:tr>
      <w:tr w:rsidR="002B7C86" w:rsidRPr="0078313E" w14:paraId="547FD29F" w14:textId="77777777" w:rsidTr="00EB2741">
        <w:trPr>
          <w:cantSplit/>
          <w:jc w:val="center"/>
        </w:trPr>
        <w:tc>
          <w:tcPr>
            <w:tcW w:w="1559" w:type="dxa"/>
            <w:tcBorders>
              <w:bottom w:val="single" w:sz="6" w:space="0" w:color="D9D9D9"/>
            </w:tcBorders>
            <w:vAlign w:val="center"/>
          </w:tcPr>
          <w:p w14:paraId="16BCBF20" w14:textId="77777777" w:rsidR="002B7C86" w:rsidRPr="0078313E" w:rsidRDefault="00D83036">
            <w:pPr>
              <w:keepNext/>
              <w:jc w:val="left"/>
            </w:pPr>
            <w:r w:rsidRPr="0078313E">
              <w:rPr>
                <w:color w:val="000000"/>
                <w:sz w:val="16"/>
              </w:rPr>
              <w:t>Residencial</w:t>
            </w:r>
          </w:p>
        </w:tc>
        <w:tc>
          <w:tcPr>
            <w:tcW w:w="1020" w:type="dxa"/>
            <w:tcBorders>
              <w:bottom w:val="single" w:sz="6" w:space="0" w:color="D9D9D9"/>
            </w:tcBorders>
            <w:vAlign w:val="center"/>
          </w:tcPr>
          <w:p w14:paraId="61FCF967" w14:textId="77777777" w:rsidR="002B7C86" w:rsidRPr="0078313E" w:rsidRDefault="00D83036">
            <w:pPr>
              <w:keepNext/>
              <w:jc w:val="center"/>
            </w:pPr>
            <w:r w:rsidRPr="0078313E">
              <w:rPr>
                <w:color w:val="000000"/>
                <w:sz w:val="15"/>
              </w:rPr>
              <w:t>1.551.349</w:t>
            </w:r>
          </w:p>
        </w:tc>
        <w:tc>
          <w:tcPr>
            <w:tcW w:w="1020" w:type="dxa"/>
            <w:tcBorders>
              <w:bottom w:val="single" w:sz="6" w:space="0" w:color="D9D9D9"/>
            </w:tcBorders>
            <w:vAlign w:val="center"/>
          </w:tcPr>
          <w:p w14:paraId="40F8C8E6" w14:textId="77777777" w:rsidR="002B7C86" w:rsidRPr="0078313E" w:rsidRDefault="00D83036">
            <w:pPr>
              <w:keepNext/>
              <w:jc w:val="center"/>
            </w:pPr>
            <w:r w:rsidRPr="0078313E">
              <w:rPr>
                <w:color w:val="000000"/>
                <w:sz w:val="15"/>
              </w:rPr>
              <w:t>1.848.884</w:t>
            </w:r>
          </w:p>
        </w:tc>
        <w:tc>
          <w:tcPr>
            <w:tcW w:w="1020" w:type="dxa"/>
            <w:tcBorders>
              <w:bottom w:val="single" w:sz="6" w:space="0" w:color="D9D9D9"/>
            </w:tcBorders>
            <w:vAlign w:val="center"/>
          </w:tcPr>
          <w:p w14:paraId="233FE949" w14:textId="77777777" w:rsidR="002B7C86" w:rsidRPr="0078313E" w:rsidRDefault="00D83036">
            <w:pPr>
              <w:keepNext/>
              <w:jc w:val="center"/>
            </w:pPr>
            <w:r w:rsidRPr="0078313E">
              <w:rPr>
                <w:color w:val="000000"/>
                <w:sz w:val="15"/>
              </w:rPr>
              <w:t>2.130.075</w:t>
            </w:r>
          </w:p>
        </w:tc>
        <w:tc>
          <w:tcPr>
            <w:tcW w:w="1020" w:type="dxa"/>
            <w:tcBorders>
              <w:bottom w:val="single" w:sz="6" w:space="0" w:color="D9D9D9"/>
            </w:tcBorders>
            <w:vAlign w:val="center"/>
          </w:tcPr>
          <w:p w14:paraId="65E5652B" w14:textId="77777777" w:rsidR="002B7C86" w:rsidRPr="0078313E" w:rsidRDefault="00D83036">
            <w:pPr>
              <w:keepNext/>
              <w:jc w:val="center"/>
            </w:pPr>
            <w:r w:rsidRPr="0078313E">
              <w:rPr>
                <w:color w:val="000000"/>
                <w:sz w:val="15"/>
              </w:rPr>
              <w:t>2.403.501</w:t>
            </w:r>
          </w:p>
        </w:tc>
        <w:tc>
          <w:tcPr>
            <w:tcW w:w="1020" w:type="dxa"/>
            <w:tcBorders>
              <w:bottom w:val="single" w:sz="6" w:space="0" w:color="D9D9D9"/>
            </w:tcBorders>
            <w:vAlign w:val="center"/>
          </w:tcPr>
          <w:p w14:paraId="2C66FFAF" w14:textId="77777777" w:rsidR="002B7C86" w:rsidRPr="0078313E" w:rsidRDefault="00D83036">
            <w:pPr>
              <w:keepNext/>
              <w:jc w:val="center"/>
            </w:pPr>
            <w:r w:rsidRPr="0078313E">
              <w:rPr>
                <w:color w:val="000000"/>
                <w:sz w:val="15"/>
              </w:rPr>
              <w:t>2.548.551</w:t>
            </w:r>
          </w:p>
        </w:tc>
        <w:tc>
          <w:tcPr>
            <w:tcW w:w="907" w:type="dxa"/>
            <w:tcBorders>
              <w:bottom w:val="single" w:sz="6" w:space="0" w:color="D9D9D9"/>
            </w:tcBorders>
            <w:vAlign w:val="center"/>
          </w:tcPr>
          <w:p w14:paraId="066BA6FB" w14:textId="77777777" w:rsidR="002B7C86" w:rsidRPr="0078313E" w:rsidRDefault="00D83036">
            <w:pPr>
              <w:keepNext/>
              <w:jc w:val="center"/>
            </w:pPr>
            <w:r w:rsidRPr="0078313E">
              <w:rPr>
                <w:color w:val="000000"/>
                <w:sz w:val="15"/>
              </w:rPr>
              <w:t>6,0 %</w:t>
            </w:r>
          </w:p>
        </w:tc>
        <w:tc>
          <w:tcPr>
            <w:tcW w:w="935" w:type="dxa"/>
            <w:tcBorders>
              <w:bottom w:val="single" w:sz="6" w:space="0" w:color="D9D9D9"/>
            </w:tcBorders>
            <w:vAlign w:val="center"/>
          </w:tcPr>
          <w:p w14:paraId="6AF1ACD2" w14:textId="77777777" w:rsidR="002B7C86" w:rsidRPr="0078313E" w:rsidRDefault="00D83036">
            <w:pPr>
              <w:keepNext/>
              <w:jc w:val="center"/>
            </w:pPr>
            <w:r w:rsidRPr="0078313E">
              <w:rPr>
                <w:color w:val="000000"/>
                <w:sz w:val="15"/>
              </w:rPr>
              <w:t>13,2 %</w:t>
            </w:r>
          </w:p>
        </w:tc>
      </w:tr>
      <w:tr w:rsidR="002B7C86" w:rsidRPr="0078313E" w14:paraId="7C8238E4" w14:textId="77777777" w:rsidTr="00EB2741">
        <w:trPr>
          <w:cantSplit/>
          <w:jc w:val="center"/>
        </w:trPr>
        <w:tc>
          <w:tcPr>
            <w:tcW w:w="1559" w:type="dxa"/>
            <w:tcBorders>
              <w:bottom w:val="single" w:sz="6" w:space="0" w:color="D9D9D9"/>
            </w:tcBorders>
            <w:vAlign w:val="center"/>
          </w:tcPr>
          <w:p w14:paraId="46C011FA" w14:textId="77777777" w:rsidR="002B7C86" w:rsidRPr="0078313E" w:rsidRDefault="00D83036">
            <w:pPr>
              <w:keepNext/>
              <w:jc w:val="left"/>
            </w:pPr>
            <w:r w:rsidRPr="0078313E">
              <w:rPr>
                <w:color w:val="000000"/>
                <w:sz w:val="16"/>
              </w:rPr>
              <w:t>Comercial</w:t>
            </w:r>
          </w:p>
        </w:tc>
        <w:tc>
          <w:tcPr>
            <w:tcW w:w="1020" w:type="dxa"/>
            <w:tcBorders>
              <w:bottom w:val="single" w:sz="6" w:space="0" w:color="D9D9D9"/>
            </w:tcBorders>
            <w:vAlign w:val="center"/>
          </w:tcPr>
          <w:p w14:paraId="517E7318" w14:textId="77777777" w:rsidR="002B7C86" w:rsidRPr="0078313E" w:rsidRDefault="00D83036">
            <w:pPr>
              <w:keepNext/>
              <w:jc w:val="center"/>
            </w:pPr>
            <w:r w:rsidRPr="0078313E">
              <w:rPr>
                <w:color w:val="000000"/>
                <w:sz w:val="15"/>
              </w:rPr>
              <w:t>16.535</w:t>
            </w:r>
          </w:p>
        </w:tc>
        <w:tc>
          <w:tcPr>
            <w:tcW w:w="1020" w:type="dxa"/>
            <w:tcBorders>
              <w:bottom w:val="single" w:sz="6" w:space="0" w:color="D9D9D9"/>
            </w:tcBorders>
            <w:vAlign w:val="center"/>
          </w:tcPr>
          <w:p w14:paraId="7B12404C" w14:textId="77777777" w:rsidR="002B7C86" w:rsidRPr="0078313E" w:rsidRDefault="00D83036">
            <w:pPr>
              <w:keepNext/>
              <w:jc w:val="center"/>
            </w:pPr>
            <w:r w:rsidRPr="0078313E">
              <w:rPr>
                <w:color w:val="000000"/>
                <w:sz w:val="15"/>
              </w:rPr>
              <w:t>24.449</w:t>
            </w:r>
          </w:p>
        </w:tc>
        <w:tc>
          <w:tcPr>
            <w:tcW w:w="1020" w:type="dxa"/>
            <w:tcBorders>
              <w:bottom w:val="single" w:sz="6" w:space="0" w:color="D9D9D9"/>
            </w:tcBorders>
            <w:vAlign w:val="center"/>
          </w:tcPr>
          <w:p w14:paraId="0639A8FC" w14:textId="77777777" w:rsidR="002B7C86" w:rsidRPr="0078313E" w:rsidRDefault="00D83036">
            <w:pPr>
              <w:keepNext/>
              <w:jc w:val="center"/>
            </w:pPr>
            <w:r w:rsidRPr="0078313E">
              <w:rPr>
                <w:color w:val="000000"/>
                <w:sz w:val="15"/>
              </w:rPr>
              <w:t>31.361</w:t>
            </w:r>
          </w:p>
        </w:tc>
        <w:tc>
          <w:tcPr>
            <w:tcW w:w="1020" w:type="dxa"/>
            <w:tcBorders>
              <w:bottom w:val="single" w:sz="6" w:space="0" w:color="D9D9D9"/>
            </w:tcBorders>
            <w:vAlign w:val="center"/>
          </w:tcPr>
          <w:p w14:paraId="6D148B4F" w14:textId="77777777" w:rsidR="002B7C86" w:rsidRPr="0078313E" w:rsidRDefault="00D83036">
            <w:pPr>
              <w:keepNext/>
              <w:jc w:val="center"/>
            </w:pPr>
            <w:r w:rsidRPr="0078313E">
              <w:rPr>
                <w:color w:val="000000"/>
                <w:sz w:val="15"/>
              </w:rPr>
              <w:t>36.623</w:t>
            </w:r>
          </w:p>
        </w:tc>
        <w:tc>
          <w:tcPr>
            <w:tcW w:w="1020" w:type="dxa"/>
            <w:tcBorders>
              <w:bottom w:val="single" w:sz="6" w:space="0" w:color="D9D9D9"/>
            </w:tcBorders>
            <w:vAlign w:val="center"/>
          </w:tcPr>
          <w:p w14:paraId="483145A4" w14:textId="77777777" w:rsidR="002B7C86" w:rsidRPr="0078313E" w:rsidRDefault="00D83036">
            <w:pPr>
              <w:keepNext/>
              <w:jc w:val="center"/>
            </w:pPr>
            <w:r w:rsidRPr="0078313E">
              <w:rPr>
                <w:color w:val="000000"/>
                <w:sz w:val="15"/>
              </w:rPr>
              <w:t>38.529</w:t>
            </w:r>
          </w:p>
        </w:tc>
        <w:tc>
          <w:tcPr>
            <w:tcW w:w="907" w:type="dxa"/>
            <w:tcBorders>
              <w:bottom w:val="single" w:sz="6" w:space="0" w:color="D9D9D9"/>
            </w:tcBorders>
            <w:vAlign w:val="center"/>
          </w:tcPr>
          <w:p w14:paraId="25498CCE" w14:textId="77777777" w:rsidR="002B7C86" w:rsidRPr="0078313E" w:rsidRDefault="00D83036">
            <w:pPr>
              <w:keepNext/>
              <w:jc w:val="center"/>
            </w:pPr>
            <w:r w:rsidRPr="0078313E">
              <w:rPr>
                <w:color w:val="000000"/>
                <w:sz w:val="15"/>
              </w:rPr>
              <w:t>5,2 %</w:t>
            </w:r>
          </w:p>
        </w:tc>
        <w:tc>
          <w:tcPr>
            <w:tcW w:w="935" w:type="dxa"/>
            <w:tcBorders>
              <w:bottom w:val="single" w:sz="6" w:space="0" w:color="D9D9D9"/>
            </w:tcBorders>
            <w:vAlign w:val="center"/>
          </w:tcPr>
          <w:p w14:paraId="11AB87B7" w14:textId="77777777" w:rsidR="002B7C86" w:rsidRPr="0078313E" w:rsidRDefault="00D83036">
            <w:pPr>
              <w:keepNext/>
              <w:jc w:val="center"/>
            </w:pPr>
            <w:r w:rsidRPr="0078313E">
              <w:rPr>
                <w:color w:val="000000"/>
                <w:sz w:val="15"/>
              </w:rPr>
              <w:t>23,6 %</w:t>
            </w:r>
          </w:p>
        </w:tc>
      </w:tr>
      <w:tr w:rsidR="002B7C86" w:rsidRPr="0078313E" w14:paraId="6E2856CE" w14:textId="77777777" w:rsidTr="00EB2741">
        <w:trPr>
          <w:cantSplit/>
          <w:jc w:val="center"/>
        </w:trPr>
        <w:tc>
          <w:tcPr>
            <w:tcW w:w="1559" w:type="dxa"/>
            <w:tcBorders>
              <w:bottom w:val="single" w:sz="6" w:space="0" w:color="D9D9D9"/>
            </w:tcBorders>
            <w:vAlign w:val="center"/>
          </w:tcPr>
          <w:p w14:paraId="2ACD729F" w14:textId="77777777" w:rsidR="002B7C86" w:rsidRPr="0078313E" w:rsidRDefault="00D83036">
            <w:pPr>
              <w:keepNext/>
              <w:jc w:val="left"/>
            </w:pPr>
            <w:r w:rsidRPr="0078313E">
              <w:rPr>
                <w:color w:val="000000"/>
                <w:sz w:val="16"/>
              </w:rPr>
              <w:t>Industrial</w:t>
            </w:r>
          </w:p>
        </w:tc>
        <w:tc>
          <w:tcPr>
            <w:tcW w:w="1020" w:type="dxa"/>
            <w:tcBorders>
              <w:bottom w:val="single" w:sz="6" w:space="0" w:color="D9D9D9"/>
            </w:tcBorders>
            <w:vAlign w:val="center"/>
          </w:tcPr>
          <w:p w14:paraId="26B317E7" w14:textId="77777777" w:rsidR="002B7C86" w:rsidRPr="0078313E" w:rsidRDefault="00D83036">
            <w:pPr>
              <w:keepNext/>
              <w:jc w:val="center"/>
            </w:pPr>
            <w:r w:rsidRPr="0078313E">
              <w:rPr>
                <w:color w:val="000000"/>
                <w:sz w:val="15"/>
              </w:rPr>
              <w:t>850</w:t>
            </w:r>
          </w:p>
        </w:tc>
        <w:tc>
          <w:tcPr>
            <w:tcW w:w="1020" w:type="dxa"/>
            <w:tcBorders>
              <w:bottom w:val="single" w:sz="6" w:space="0" w:color="D9D9D9"/>
            </w:tcBorders>
            <w:vAlign w:val="center"/>
          </w:tcPr>
          <w:p w14:paraId="3FA8C01A" w14:textId="77777777" w:rsidR="002B7C86" w:rsidRPr="0078313E" w:rsidRDefault="00D83036">
            <w:pPr>
              <w:keepNext/>
              <w:jc w:val="center"/>
            </w:pPr>
            <w:r w:rsidRPr="0078313E">
              <w:rPr>
                <w:color w:val="000000"/>
                <w:sz w:val="15"/>
              </w:rPr>
              <w:t>914</w:t>
            </w:r>
          </w:p>
        </w:tc>
        <w:tc>
          <w:tcPr>
            <w:tcW w:w="1020" w:type="dxa"/>
            <w:tcBorders>
              <w:bottom w:val="single" w:sz="6" w:space="0" w:color="D9D9D9"/>
            </w:tcBorders>
            <w:vAlign w:val="center"/>
          </w:tcPr>
          <w:p w14:paraId="47DE6E5A" w14:textId="77777777" w:rsidR="002B7C86" w:rsidRPr="0078313E" w:rsidRDefault="00D83036">
            <w:pPr>
              <w:keepNext/>
              <w:jc w:val="center"/>
            </w:pPr>
            <w:r w:rsidRPr="0078313E">
              <w:rPr>
                <w:color w:val="000000"/>
                <w:sz w:val="15"/>
              </w:rPr>
              <w:t>1.000</w:t>
            </w:r>
          </w:p>
        </w:tc>
        <w:tc>
          <w:tcPr>
            <w:tcW w:w="1020" w:type="dxa"/>
            <w:tcBorders>
              <w:bottom w:val="single" w:sz="6" w:space="0" w:color="D9D9D9"/>
            </w:tcBorders>
            <w:vAlign w:val="center"/>
          </w:tcPr>
          <w:p w14:paraId="3B3C426B" w14:textId="77777777" w:rsidR="002B7C86" w:rsidRPr="0078313E" w:rsidRDefault="00D83036">
            <w:pPr>
              <w:keepNext/>
              <w:jc w:val="center"/>
            </w:pPr>
            <w:r w:rsidRPr="0078313E">
              <w:rPr>
                <w:color w:val="000000"/>
                <w:sz w:val="15"/>
              </w:rPr>
              <w:t>1.087</w:t>
            </w:r>
          </w:p>
        </w:tc>
        <w:tc>
          <w:tcPr>
            <w:tcW w:w="1020" w:type="dxa"/>
            <w:tcBorders>
              <w:bottom w:val="single" w:sz="6" w:space="0" w:color="D9D9D9"/>
            </w:tcBorders>
            <w:vAlign w:val="center"/>
          </w:tcPr>
          <w:p w14:paraId="11CCE6E7" w14:textId="77777777" w:rsidR="002B7C86" w:rsidRPr="0078313E" w:rsidRDefault="00D83036">
            <w:pPr>
              <w:keepNext/>
              <w:jc w:val="center"/>
            </w:pPr>
            <w:r w:rsidRPr="0078313E">
              <w:rPr>
                <w:color w:val="000000"/>
                <w:sz w:val="15"/>
              </w:rPr>
              <w:t>1.167</w:t>
            </w:r>
          </w:p>
        </w:tc>
        <w:tc>
          <w:tcPr>
            <w:tcW w:w="907" w:type="dxa"/>
            <w:tcBorders>
              <w:bottom w:val="single" w:sz="6" w:space="0" w:color="D9D9D9"/>
            </w:tcBorders>
            <w:vAlign w:val="center"/>
          </w:tcPr>
          <w:p w14:paraId="7CC2F233" w14:textId="77777777" w:rsidR="002B7C86" w:rsidRPr="0078313E" w:rsidRDefault="00D83036">
            <w:pPr>
              <w:keepNext/>
              <w:jc w:val="center"/>
            </w:pPr>
            <w:r w:rsidRPr="0078313E">
              <w:rPr>
                <w:color w:val="000000"/>
                <w:sz w:val="15"/>
              </w:rPr>
              <w:t>7,4 %</w:t>
            </w:r>
          </w:p>
        </w:tc>
        <w:tc>
          <w:tcPr>
            <w:tcW w:w="935" w:type="dxa"/>
            <w:tcBorders>
              <w:bottom w:val="single" w:sz="6" w:space="0" w:color="D9D9D9"/>
            </w:tcBorders>
            <w:vAlign w:val="center"/>
          </w:tcPr>
          <w:p w14:paraId="5DD276E7" w14:textId="77777777" w:rsidR="002B7C86" w:rsidRPr="0078313E" w:rsidRDefault="00D83036">
            <w:pPr>
              <w:keepNext/>
              <w:jc w:val="center"/>
            </w:pPr>
            <w:r w:rsidRPr="0078313E">
              <w:rPr>
                <w:color w:val="000000"/>
                <w:sz w:val="15"/>
              </w:rPr>
              <w:t>8,2 %</w:t>
            </w:r>
          </w:p>
        </w:tc>
      </w:tr>
      <w:tr w:rsidR="002B7C86" w:rsidRPr="0078313E" w14:paraId="0BCA2486" w14:textId="77777777" w:rsidTr="00EB2741">
        <w:trPr>
          <w:cantSplit/>
          <w:jc w:val="center"/>
        </w:trPr>
        <w:tc>
          <w:tcPr>
            <w:tcW w:w="1559" w:type="dxa"/>
            <w:tcBorders>
              <w:bottom w:val="single" w:sz="6" w:space="0" w:color="D9D9D9"/>
            </w:tcBorders>
            <w:vAlign w:val="center"/>
          </w:tcPr>
          <w:p w14:paraId="1C970357" w14:textId="77777777" w:rsidR="002B7C86" w:rsidRPr="0078313E" w:rsidRDefault="00D83036">
            <w:pPr>
              <w:keepNext/>
              <w:jc w:val="left"/>
              <w:rPr>
                <w:lang w:val="es-PE"/>
              </w:rPr>
            </w:pPr>
            <w:r w:rsidRPr="0078313E">
              <w:rPr>
                <w:color w:val="000000"/>
                <w:sz w:val="16"/>
                <w:lang w:val="es-PE"/>
              </w:rPr>
              <w:t>Estaciones de servicio de GNV</w:t>
            </w:r>
          </w:p>
        </w:tc>
        <w:tc>
          <w:tcPr>
            <w:tcW w:w="1020" w:type="dxa"/>
            <w:tcBorders>
              <w:bottom w:val="single" w:sz="6" w:space="0" w:color="D9D9D9"/>
            </w:tcBorders>
            <w:vAlign w:val="center"/>
          </w:tcPr>
          <w:p w14:paraId="6867E6A9" w14:textId="77777777" w:rsidR="002B7C86" w:rsidRPr="0078313E" w:rsidRDefault="00D83036">
            <w:pPr>
              <w:keepNext/>
              <w:jc w:val="center"/>
            </w:pPr>
            <w:r w:rsidRPr="0078313E">
              <w:rPr>
                <w:color w:val="000000"/>
                <w:sz w:val="15"/>
              </w:rPr>
              <w:t>303</w:t>
            </w:r>
          </w:p>
        </w:tc>
        <w:tc>
          <w:tcPr>
            <w:tcW w:w="1020" w:type="dxa"/>
            <w:tcBorders>
              <w:bottom w:val="single" w:sz="6" w:space="0" w:color="D9D9D9"/>
            </w:tcBorders>
            <w:vAlign w:val="center"/>
          </w:tcPr>
          <w:p w14:paraId="7508DB3A" w14:textId="77777777" w:rsidR="002B7C86" w:rsidRPr="0078313E" w:rsidRDefault="00D83036">
            <w:pPr>
              <w:keepNext/>
              <w:jc w:val="center"/>
            </w:pPr>
            <w:r w:rsidRPr="0078313E">
              <w:rPr>
                <w:color w:val="000000"/>
                <w:sz w:val="15"/>
              </w:rPr>
              <w:t>307</w:t>
            </w:r>
          </w:p>
        </w:tc>
        <w:tc>
          <w:tcPr>
            <w:tcW w:w="1020" w:type="dxa"/>
            <w:tcBorders>
              <w:bottom w:val="single" w:sz="6" w:space="0" w:color="D9D9D9"/>
            </w:tcBorders>
            <w:vAlign w:val="center"/>
          </w:tcPr>
          <w:p w14:paraId="6FCF273E" w14:textId="77777777" w:rsidR="002B7C86" w:rsidRPr="0078313E" w:rsidRDefault="00D83036">
            <w:pPr>
              <w:keepNext/>
              <w:jc w:val="center"/>
            </w:pPr>
            <w:r w:rsidRPr="0078313E">
              <w:rPr>
                <w:color w:val="000000"/>
                <w:sz w:val="15"/>
              </w:rPr>
              <w:t>310</w:t>
            </w:r>
          </w:p>
        </w:tc>
        <w:tc>
          <w:tcPr>
            <w:tcW w:w="1020" w:type="dxa"/>
            <w:tcBorders>
              <w:bottom w:val="single" w:sz="6" w:space="0" w:color="D9D9D9"/>
            </w:tcBorders>
            <w:vAlign w:val="center"/>
          </w:tcPr>
          <w:p w14:paraId="79217A5E" w14:textId="77777777" w:rsidR="002B7C86" w:rsidRPr="0078313E" w:rsidRDefault="00D83036">
            <w:pPr>
              <w:keepNext/>
              <w:jc w:val="center"/>
            </w:pPr>
            <w:r w:rsidRPr="0078313E">
              <w:rPr>
                <w:color w:val="000000"/>
                <w:sz w:val="15"/>
              </w:rPr>
              <w:t>318</w:t>
            </w:r>
          </w:p>
        </w:tc>
        <w:tc>
          <w:tcPr>
            <w:tcW w:w="1020" w:type="dxa"/>
            <w:tcBorders>
              <w:bottom w:val="single" w:sz="6" w:space="0" w:color="D9D9D9"/>
            </w:tcBorders>
            <w:vAlign w:val="center"/>
          </w:tcPr>
          <w:p w14:paraId="14606A4D" w14:textId="77777777" w:rsidR="002B7C86" w:rsidRPr="0078313E" w:rsidRDefault="00D83036">
            <w:pPr>
              <w:keepNext/>
              <w:jc w:val="center"/>
            </w:pPr>
            <w:r w:rsidRPr="0078313E">
              <w:rPr>
                <w:color w:val="000000"/>
                <w:sz w:val="15"/>
              </w:rPr>
              <w:t>324</w:t>
            </w:r>
          </w:p>
        </w:tc>
        <w:tc>
          <w:tcPr>
            <w:tcW w:w="907" w:type="dxa"/>
            <w:tcBorders>
              <w:bottom w:val="single" w:sz="6" w:space="0" w:color="D9D9D9"/>
            </w:tcBorders>
            <w:vAlign w:val="center"/>
          </w:tcPr>
          <w:p w14:paraId="51DAD314" w14:textId="77777777" w:rsidR="002B7C86" w:rsidRPr="0078313E" w:rsidRDefault="00D83036">
            <w:pPr>
              <w:keepNext/>
              <w:jc w:val="center"/>
            </w:pPr>
            <w:r w:rsidRPr="0078313E">
              <w:rPr>
                <w:color w:val="000000"/>
                <w:sz w:val="15"/>
              </w:rPr>
              <w:t>1,9 %</w:t>
            </w:r>
          </w:p>
        </w:tc>
        <w:tc>
          <w:tcPr>
            <w:tcW w:w="935" w:type="dxa"/>
            <w:tcBorders>
              <w:bottom w:val="single" w:sz="6" w:space="0" w:color="D9D9D9"/>
            </w:tcBorders>
            <w:vAlign w:val="center"/>
          </w:tcPr>
          <w:p w14:paraId="52E08E91" w14:textId="77777777" w:rsidR="002B7C86" w:rsidRPr="0078313E" w:rsidRDefault="00D83036">
            <w:pPr>
              <w:keepNext/>
              <w:jc w:val="center"/>
            </w:pPr>
            <w:r w:rsidRPr="0078313E">
              <w:rPr>
                <w:color w:val="000000"/>
                <w:sz w:val="15"/>
              </w:rPr>
              <w:t>1,7 %</w:t>
            </w:r>
          </w:p>
        </w:tc>
      </w:tr>
      <w:tr w:rsidR="002B7C86" w:rsidRPr="0078313E" w14:paraId="65A83180" w14:textId="77777777" w:rsidTr="00EB2741">
        <w:trPr>
          <w:cantSplit/>
          <w:jc w:val="center"/>
        </w:trPr>
        <w:tc>
          <w:tcPr>
            <w:tcW w:w="1559" w:type="dxa"/>
            <w:tcBorders>
              <w:bottom w:val="single" w:sz="6" w:space="0" w:color="D9D9D9"/>
            </w:tcBorders>
            <w:vAlign w:val="center"/>
          </w:tcPr>
          <w:p w14:paraId="64E7E5F8" w14:textId="77777777" w:rsidR="002B7C86" w:rsidRPr="0078313E" w:rsidRDefault="00D83036">
            <w:pPr>
              <w:keepNext/>
              <w:jc w:val="left"/>
            </w:pPr>
            <w:r w:rsidRPr="0078313E">
              <w:rPr>
                <w:color w:val="000000"/>
                <w:sz w:val="16"/>
              </w:rPr>
              <w:t>Generación eléctrica</w:t>
            </w:r>
          </w:p>
        </w:tc>
        <w:tc>
          <w:tcPr>
            <w:tcW w:w="1020" w:type="dxa"/>
            <w:tcBorders>
              <w:bottom w:val="single" w:sz="6" w:space="0" w:color="D9D9D9"/>
            </w:tcBorders>
            <w:vAlign w:val="center"/>
          </w:tcPr>
          <w:p w14:paraId="2F6E4B43" w14:textId="77777777" w:rsidR="002B7C86" w:rsidRPr="0078313E" w:rsidRDefault="00D83036">
            <w:pPr>
              <w:keepNext/>
              <w:jc w:val="center"/>
            </w:pPr>
            <w:r w:rsidRPr="0078313E">
              <w:rPr>
                <w:color w:val="000000"/>
                <w:sz w:val="15"/>
              </w:rPr>
              <w:t>35</w:t>
            </w:r>
          </w:p>
        </w:tc>
        <w:tc>
          <w:tcPr>
            <w:tcW w:w="1020" w:type="dxa"/>
            <w:tcBorders>
              <w:bottom w:val="single" w:sz="6" w:space="0" w:color="D9D9D9"/>
            </w:tcBorders>
            <w:vAlign w:val="center"/>
          </w:tcPr>
          <w:p w14:paraId="354A1FF5" w14:textId="77777777" w:rsidR="002B7C86" w:rsidRPr="0078313E" w:rsidRDefault="00D83036">
            <w:pPr>
              <w:keepNext/>
              <w:jc w:val="center"/>
            </w:pPr>
            <w:r w:rsidRPr="0078313E">
              <w:rPr>
                <w:color w:val="000000"/>
                <w:sz w:val="15"/>
              </w:rPr>
              <w:t>38</w:t>
            </w:r>
          </w:p>
        </w:tc>
        <w:tc>
          <w:tcPr>
            <w:tcW w:w="1020" w:type="dxa"/>
            <w:tcBorders>
              <w:bottom w:val="single" w:sz="6" w:space="0" w:color="D9D9D9"/>
            </w:tcBorders>
            <w:vAlign w:val="center"/>
          </w:tcPr>
          <w:p w14:paraId="77B8D2F1" w14:textId="77777777" w:rsidR="002B7C86" w:rsidRPr="0078313E" w:rsidRDefault="00D83036">
            <w:pPr>
              <w:keepNext/>
              <w:jc w:val="center"/>
            </w:pPr>
            <w:r w:rsidRPr="0078313E">
              <w:rPr>
                <w:color w:val="000000"/>
                <w:sz w:val="15"/>
              </w:rPr>
              <w:t>38</w:t>
            </w:r>
          </w:p>
        </w:tc>
        <w:tc>
          <w:tcPr>
            <w:tcW w:w="1020" w:type="dxa"/>
            <w:tcBorders>
              <w:bottom w:val="single" w:sz="6" w:space="0" w:color="D9D9D9"/>
            </w:tcBorders>
            <w:vAlign w:val="center"/>
          </w:tcPr>
          <w:p w14:paraId="088158B2" w14:textId="77777777" w:rsidR="002B7C86" w:rsidRPr="0078313E" w:rsidRDefault="00D83036">
            <w:pPr>
              <w:keepNext/>
              <w:jc w:val="center"/>
            </w:pPr>
            <w:r w:rsidRPr="0078313E">
              <w:rPr>
                <w:color w:val="000000"/>
                <w:sz w:val="15"/>
              </w:rPr>
              <w:t>46</w:t>
            </w:r>
          </w:p>
        </w:tc>
        <w:tc>
          <w:tcPr>
            <w:tcW w:w="1020" w:type="dxa"/>
            <w:tcBorders>
              <w:bottom w:val="single" w:sz="6" w:space="0" w:color="D9D9D9"/>
            </w:tcBorders>
            <w:vAlign w:val="center"/>
          </w:tcPr>
          <w:p w14:paraId="653462ED" w14:textId="77777777" w:rsidR="002B7C86" w:rsidRPr="0078313E" w:rsidRDefault="00D83036">
            <w:pPr>
              <w:keepNext/>
              <w:jc w:val="center"/>
            </w:pPr>
            <w:r w:rsidRPr="0078313E">
              <w:rPr>
                <w:color w:val="000000"/>
                <w:sz w:val="15"/>
              </w:rPr>
              <w:t>50</w:t>
            </w:r>
          </w:p>
        </w:tc>
        <w:tc>
          <w:tcPr>
            <w:tcW w:w="907" w:type="dxa"/>
            <w:tcBorders>
              <w:bottom w:val="single" w:sz="6" w:space="0" w:color="D9D9D9"/>
            </w:tcBorders>
            <w:vAlign w:val="center"/>
          </w:tcPr>
          <w:p w14:paraId="25C41C21" w14:textId="77777777" w:rsidR="002B7C86" w:rsidRPr="0078313E" w:rsidRDefault="00D83036">
            <w:pPr>
              <w:keepNext/>
              <w:jc w:val="center"/>
            </w:pPr>
            <w:r w:rsidRPr="0078313E">
              <w:rPr>
                <w:color w:val="000000"/>
                <w:sz w:val="15"/>
              </w:rPr>
              <w:t>8,7 %</w:t>
            </w:r>
          </w:p>
        </w:tc>
        <w:tc>
          <w:tcPr>
            <w:tcW w:w="935" w:type="dxa"/>
            <w:tcBorders>
              <w:bottom w:val="single" w:sz="6" w:space="0" w:color="D9D9D9"/>
            </w:tcBorders>
            <w:vAlign w:val="center"/>
          </w:tcPr>
          <w:p w14:paraId="6F77E564" w14:textId="77777777" w:rsidR="002B7C86" w:rsidRPr="0078313E" w:rsidRDefault="00D83036">
            <w:pPr>
              <w:keepNext/>
              <w:jc w:val="center"/>
            </w:pPr>
            <w:r w:rsidRPr="0078313E">
              <w:rPr>
                <w:color w:val="000000"/>
                <w:sz w:val="15"/>
              </w:rPr>
              <w:t>9,3 %</w:t>
            </w:r>
          </w:p>
        </w:tc>
      </w:tr>
      <w:tr w:rsidR="002B7C86" w:rsidRPr="0078313E" w14:paraId="2F030BDB" w14:textId="77777777" w:rsidTr="00EB2741">
        <w:trPr>
          <w:cantSplit/>
          <w:jc w:val="center"/>
        </w:trPr>
        <w:tc>
          <w:tcPr>
            <w:tcW w:w="1559" w:type="dxa"/>
            <w:tcBorders>
              <w:top w:val="single" w:sz="8" w:space="0" w:color="1F3864"/>
              <w:bottom w:val="single" w:sz="6" w:space="0" w:color="D9D9D9"/>
            </w:tcBorders>
            <w:vAlign w:val="center"/>
          </w:tcPr>
          <w:p w14:paraId="007FE53A" w14:textId="77777777" w:rsidR="002B7C86" w:rsidRPr="0078313E" w:rsidRDefault="00D83036">
            <w:pPr>
              <w:keepNext/>
              <w:jc w:val="left"/>
            </w:pPr>
            <w:r w:rsidRPr="0078313E">
              <w:rPr>
                <w:b/>
                <w:color w:val="1F3864"/>
                <w:sz w:val="16"/>
              </w:rPr>
              <w:t>Total</w:t>
            </w:r>
          </w:p>
        </w:tc>
        <w:tc>
          <w:tcPr>
            <w:tcW w:w="1020" w:type="dxa"/>
            <w:tcBorders>
              <w:top w:val="single" w:sz="8" w:space="0" w:color="1F3864"/>
              <w:bottom w:val="single" w:sz="6" w:space="0" w:color="D9D9D9"/>
            </w:tcBorders>
            <w:vAlign w:val="center"/>
          </w:tcPr>
          <w:p w14:paraId="4589A0DC" w14:textId="77777777" w:rsidR="002B7C86" w:rsidRPr="0078313E" w:rsidRDefault="00D83036">
            <w:pPr>
              <w:keepNext/>
              <w:jc w:val="center"/>
            </w:pPr>
            <w:r w:rsidRPr="0078313E">
              <w:rPr>
                <w:b/>
                <w:color w:val="1F3864"/>
                <w:sz w:val="15"/>
              </w:rPr>
              <w:t>1.569.072</w:t>
            </w:r>
          </w:p>
        </w:tc>
        <w:tc>
          <w:tcPr>
            <w:tcW w:w="1020" w:type="dxa"/>
            <w:tcBorders>
              <w:top w:val="single" w:sz="8" w:space="0" w:color="1F3864"/>
              <w:bottom w:val="single" w:sz="6" w:space="0" w:color="D9D9D9"/>
            </w:tcBorders>
            <w:vAlign w:val="center"/>
          </w:tcPr>
          <w:p w14:paraId="4BECFA01" w14:textId="77777777" w:rsidR="002B7C86" w:rsidRPr="0078313E" w:rsidRDefault="00D83036">
            <w:pPr>
              <w:keepNext/>
              <w:jc w:val="center"/>
            </w:pPr>
            <w:r w:rsidRPr="0078313E">
              <w:rPr>
                <w:b/>
                <w:color w:val="1F3864"/>
                <w:sz w:val="15"/>
              </w:rPr>
              <w:t>1.874.592</w:t>
            </w:r>
          </w:p>
        </w:tc>
        <w:tc>
          <w:tcPr>
            <w:tcW w:w="1020" w:type="dxa"/>
            <w:tcBorders>
              <w:top w:val="single" w:sz="8" w:space="0" w:color="1F3864"/>
              <w:bottom w:val="single" w:sz="6" w:space="0" w:color="D9D9D9"/>
            </w:tcBorders>
            <w:vAlign w:val="center"/>
          </w:tcPr>
          <w:p w14:paraId="5D3FD4C0" w14:textId="77777777" w:rsidR="002B7C86" w:rsidRPr="0078313E" w:rsidRDefault="00D83036">
            <w:pPr>
              <w:keepNext/>
              <w:jc w:val="center"/>
            </w:pPr>
            <w:r w:rsidRPr="0078313E">
              <w:rPr>
                <w:b/>
                <w:color w:val="1F3864"/>
                <w:sz w:val="15"/>
              </w:rPr>
              <w:t>2.162.784</w:t>
            </w:r>
          </w:p>
        </w:tc>
        <w:tc>
          <w:tcPr>
            <w:tcW w:w="1020" w:type="dxa"/>
            <w:tcBorders>
              <w:top w:val="single" w:sz="8" w:space="0" w:color="1F3864"/>
              <w:bottom w:val="single" w:sz="6" w:space="0" w:color="D9D9D9"/>
            </w:tcBorders>
            <w:vAlign w:val="center"/>
          </w:tcPr>
          <w:p w14:paraId="74D1A22A" w14:textId="77777777" w:rsidR="002B7C86" w:rsidRPr="0078313E" w:rsidRDefault="00D83036">
            <w:pPr>
              <w:keepNext/>
              <w:jc w:val="center"/>
            </w:pPr>
            <w:r w:rsidRPr="0078313E">
              <w:rPr>
                <w:b/>
                <w:color w:val="1F3864"/>
                <w:sz w:val="15"/>
              </w:rPr>
              <w:t>2.441.575</w:t>
            </w:r>
          </w:p>
        </w:tc>
        <w:tc>
          <w:tcPr>
            <w:tcW w:w="1020" w:type="dxa"/>
            <w:tcBorders>
              <w:top w:val="single" w:sz="8" w:space="0" w:color="1F3864"/>
              <w:bottom w:val="single" w:sz="6" w:space="0" w:color="D9D9D9"/>
            </w:tcBorders>
            <w:vAlign w:val="center"/>
          </w:tcPr>
          <w:p w14:paraId="29470BFC" w14:textId="77777777" w:rsidR="002B7C86" w:rsidRPr="0078313E" w:rsidRDefault="00D83036">
            <w:pPr>
              <w:keepNext/>
              <w:jc w:val="center"/>
            </w:pPr>
            <w:r w:rsidRPr="0078313E">
              <w:rPr>
                <w:b/>
                <w:color w:val="1F3864"/>
                <w:sz w:val="15"/>
              </w:rPr>
              <w:t>2.588.621</w:t>
            </w:r>
          </w:p>
        </w:tc>
        <w:tc>
          <w:tcPr>
            <w:tcW w:w="907" w:type="dxa"/>
            <w:tcBorders>
              <w:top w:val="single" w:sz="8" w:space="0" w:color="1F3864"/>
              <w:bottom w:val="single" w:sz="6" w:space="0" w:color="D9D9D9"/>
            </w:tcBorders>
            <w:vAlign w:val="center"/>
          </w:tcPr>
          <w:p w14:paraId="25A39D96" w14:textId="77777777" w:rsidR="002B7C86" w:rsidRPr="0078313E" w:rsidRDefault="00D83036">
            <w:pPr>
              <w:keepNext/>
              <w:jc w:val="center"/>
            </w:pPr>
            <w:r w:rsidRPr="0078313E">
              <w:rPr>
                <w:b/>
                <w:color w:val="1F3864"/>
                <w:sz w:val="15"/>
              </w:rPr>
              <w:t>6,0 %</w:t>
            </w:r>
          </w:p>
        </w:tc>
        <w:tc>
          <w:tcPr>
            <w:tcW w:w="935" w:type="dxa"/>
            <w:tcBorders>
              <w:top w:val="single" w:sz="8" w:space="0" w:color="1F3864"/>
              <w:bottom w:val="single" w:sz="6" w:space="0" w:color="D9D9D9"/>
            </w:tcBorders>
            <w:vAlign w:val="center"/>
          </w:tcPr>
          <w:p w14:paraId="10E15192" w14:textId="77777777" w:rsidR="002B7C86" w:rsidRPr="0078313E" w:rsidRDefault="00D83036">
            <w:pPr>
              <w:keepNext/>
              <w:jc w:val="center"/>
            </w:pPr>
            <w:r w:rsidRPr="0078313E">
              <w:rPr>
                <w:b/>
                <w:color w:val="1F3864"/>
                <w:sz w:val="15"/>
              </w:rPr>
              <w:t>13,3 %</w:t>
            </w:r>
          </w:p>
        </w:tc>
      </w:tr>
    </w:tbl>
    <w:p w14:paraId="22EAA4C8" w14:textId="4B983D8A" w:rsidR="002B7C86" w:rsidRPr="0078313E" w:rsidRDefault="00D83036">
      <w:pPr>
        <w:keepNext/>
        <w:keepLines/>
        <w:spacing w:before="60" w:after="0"/>
        <w:rPr>
          <w:lang w:val="es-PE"/>
        </w:rPr>
      </w:pPr>
      <w:r w:rsidRPr="0078313E">
        <w:rPr>
          <w:i/>
          <w:color w:val="595959"/>
          <w:sz w:val="15"/>
          <w:lang w:val="es-PE"/>
        </w:rPr>
        <w:t>Cifras al cierre de cada año reportadas por las empresas del sector</w:t>
      </w:r>
      <w:r>
        <w:rPr>
          <w:i/>
          <w:color w:val="595959"/>
          <w:sz w:val="15"/>
          <w:lang w:val="es-PE"/>
        </w:rPr>
        <w:t>.</w:t>
      </w:r>
      <w:r w:rsidRPr="0078313E">
        <w:rPr>
          <w:i/>
          <w:color w:val="595959"/>
          <w:sz w:val="15"/>
          <w:lang w:val="es-PE"/>
        </w:rPr>
        <w:t xml:space="preserve"> </w:t>
      </w:r>
      <w:r>
        <w:rPr>
          <w:i/>
          <w:color w:val="595959"/>
          <w:sz w:val="15"/>
          <w:lang w:val="es-PE"/>
        </w:rPr>
        <w:t>L</w:t>
      </w:r>
      <w:r w:rsidRPr="0078313E">
        <w:rPr>
          <w:i/>
          <w:color w:val="595959"/>
          <w:sz w:val="15"/>
          <w:lang w:val="es-PE"/>
        </w:rPr>
        <w:t>a serie 2021-2024 corresponde a la serie revisada de esta edición, por lo que puede diferir marginalmente de la publicada en el informe anterior.</w:t>
      </w:r>
    </w:p>
    <w:p w14:paraId="1EC0466E" w14:textId="3D8E772A" w:rsidR="002B7C86" w:rsidRPr="0078313E" w:rsidRDefault="00D83036" w:rsidP="006D37A5">
      <w:pPr>
        <w:keepLines/>
        <w:spacing w:after="200"/>
        <w:jc w:val="right"/>
        <w:rPr>
          <w:lang w:val="es-PE"/>
        </w:rPr>
      </w:pPr>
      <w:r w:rsidRPr="0078313E">
        <w:rPr>
          <w:b/>
          <w:color w:val="404040"/>
          <w:sz w:val="15"/>
          <w:lang w:val="es-PE"/>
        </w:rPr>
        <w:t>FUENTE: Empresas del sector, Osinergmin; estimaciones de APOYO Consultoría</w:t>
      </w:r>
    </w:p>
    <w:p w14:paraId="36AEE3CA" w14:textId="77777777" w:rsidR="00180FC4" w:rsidRDefault="00D83036">
      <w:pPr>
        <w:keepLines/>
        <w:rPr>
          <w:lang w:val="es-PE"/>
        </w:rPr>
      </w:pPr>
      <w:r w:rsidRPr="0078313E">
        <w:rPr>
          <w:lang w:val="es-PE"/>
        </w:rPr>
        <w:t>La foto de mediano plazo sigue siendo notable. En los últimos cinco años, las conexiones de gas natural se duplicaron: el sector pasó de 1,2 a 2,6 millones de usuarios, y la cobertura subió de 14 % a 25 % de la población. Se trata de un despliegue de infraestructura con pocos precedentes en el país, sostenido en la inversión de los concesionarios y, en menor medida, en los programas sociales del Fondo de Inclusión Social Energético (FISE).</w:t>
      </w:r>
    </w:p>
    <w:p w14:paraId="656B3763" w14:textId="77777777" w:rsidR="00C75A27" w:rsidRDefault="00D4093E">
      <w:pPr>
        <w:spacing w:before="160"/>
        <w:jc w:val="center"/>
      </w:pPr>
      <w:r>
        <w:rPr>
          <w:noProof/>
        </w:rPr>
        <w:drawing>
          <wp:inline distT="0" distB="0" distL="0" distR="0" wp14:anchorId="24BCA225" wp14:editId="73A53DC7">
            <wp:extent cx="4320000" cy="2700000"/>
            <wp:effectExtent l="0" t="0" r="0" b="0"/>
            <wp:docPr id="90091" name="Picture 9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7.png"/>
                    <pic:cNvPicPr/>
                  </pic:nvPicPr>
                  <pic:blipFill>
                    <a:blip r:embed="rId17"/>
                    <a:stretch>
                      <a:fillRect/>
                    </a:stretch>
                  </pic:blipFill>
                  <pic:spPr>
                    <a:xfrm>
                      <a:off x="0" y="0"/>
                      <a:ext cx="4320000" cy="2700000"/>
                    </a:xfrm>
                    <a:prstGeom prst="rect">
                      <a:avLst/>
                    </a:prstGeom>
                  </pic:spPr>
                </pic:pic>
              </a:graphicData>
            </a:graphic>
          </wp:inline>
        </w:drawing>
      </w:r>
    </w:p>
    <w:p w14:paraId="5D38CDF2" w14:textId="2A7DAB94" w:rsidR="00C75A27" w:rsidRDefault="00D4093E">
      <w:pPr>
        <w:spacing w:before="160"/>
        <w:jc w:val="center"/>
      </w:pPr>
      <w:r>
        <w:rPr>
          <w:noProof/>
        </w:rPr>
        <w:lastRenderedPageBreak/>
        <w:drawing>
          <wp:inline distT="0" distB="0" distL="0" distR="0" wp14:anchorId="2540016B" wp14:editId="23831EBE">
            <wp:extent cx="4320000" cy="2698051"/>
            <wp:effectExtent l="0" t="0" r="0" b="0"/>
            <wp:docPr id="2110891830" name="Imagen 211089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8.png"/>
                    <pic:cNvPicPr/>
                  </pic:nvPicPr>
                  <pic:blipFill>
                    <a:blip r:embed="rId18"/>
                    <a:stretch>
                      <a:fillRect/>
                    </a:stretch>
                  </pic:blipFill>
                  <pic:spPr>
                    <a:xfrm>
                      <a:off x="0" y="0"/>
                      <a:ext cx="4320000" cy="2698051"/>
                    </a:xfrm>
                    <a:prstGeom prst="rect">
                      <a:avLst/>
                    </a:prstGeom>
                  </pic:spPr>
                </pic:pic>
              </a:graphicData>
            </a:graphic>
          </wp:inline>
        </w:drawing>
      </w:r>
    </w:p>
    <w:p w14:paraId="463C35BD" w14:textId="77777777" w:rsidR="00180FC4" w:rsidRDefault="00180FC4">
      <w:pPr>
        <w:keepNext/>
        <w:spacing w:before="160"/>
        <w:jc w:val="center"/>
        <w:rPr>
          <w:lang w:val="es-PE"/>
        </w:rPr>
      </w:pPr>
    </w:p>
    <w:p w14:paraId="300BCD74" w14:textId="730454DF" w:rsidR="00180FC4" w:rsidRDefault="00D83036">
      <w:pPr>
        <w:keepLines/>
        <w:rPr>
          <w:lang w:val="es-PE"/>
        </w:rPr>
      </w:pPr>
      <w:r>
        <w:rPr>
          <w:lang w:val="es-PE"/>
        </w:rPr>
        <w:t>El detalle por concesión ayuda a entender el menor ritmo de instalación de nuevas conexiones en el año. Cálidda, que opera la concesión de Lima y Callao, aporta alrededor de cuatro de cada cinco conexiones nuevas del país. En 2025, conectó 117 mil clientes, por debajo de sus registros de años anteriores. La razón es la propia madurez de su red: cerca de seis de cada diez hogares de su zona ya cuentan con el servicio y, entre las viviendas que tienen la red al pie, ocho de cada diez ya se conectaron. Crecer exige ahora llegar a zonas de más difícil acceso. Solo en las zonas altas de Lima y Callao se estima que existen unas 350 mil viviendas. En 2024, un piloto en los cerros de Bayóvar, en San Juan de Lurigancho, tendió unos 2,5 km de redes en cuatro etapas y llevó el gas natural a alrededor de 400 familias, demostrando que es posible construir en pendiente con soluciones técnicas especiales. La réplica, sin embargo, tardó: recién en 2026 el FISE y Cálidda culminaron en las laderas de Independencia la primera etapa de un nuevo proyecto, con 46 hogares conectados. El esfuerzo se ha retomado, pero su avance es todavía muy gradual y está lejos de la escala que demandan esas 350 mil viviendas. Las soluciones técnicas que exige este tipo de terreno aún no se han incorporado a la normativa correspondiente.</w:t>
      </w:r>
    </w:p>
    <w:p w14:paraId="2CCBA6A8" w14:textId="655B52B0" w:rsidR="00180FC4" w:rsidRDefault="00D83036">
      <w:pPr>
        <w:keepLines/>
        <w:rPr>
          <w:lang w:val="es-PE"/>
        </w:rPr>
      </w:pPr>
      <w:r w:rsidRPr="0078313E">
        <w:rPr>
          <w:lang w:val="es-PE"/>
        </w:rPr>
        <w:t xml:space="preserve">En las regiones destacaron dos historias positivas. La concesión de Piura fue la más dinámica del país: sus clientes residenciales crecieron 45 % y, con solo tres años y medio de operación comercial, ya superan en conjunto la meta de conexiones que su contrato fijaba para el octavo año. La Concesión Sur Oeste, operada por Petroperú, tras varios años de retroceso, retomó el crecimiento de la mano de los proyectos de construcción de redes financiados por el FISE: sus clientes residenciales aumentaron 15 % en 2025. La Concesión Norte de Quavii y Contugas, en Ica, avanzaron a un ritmo más moderado. No es casualidad: son dos de las concesiones </w:t>
      </w:r>
      <w:r w:rsidR="00377826">
        <w:rPr>
          <w:lang w:val="es-PE"/>
        </w:rPr>
        <w:t xml:space="preserve">regionales </w:t>
      </w:r>
      <w:r w:rsidRPr="0078313E">
        <w:rPr>
          <w:lang w:val="es-PE"/>
        </w:rPr>
        <w:t xml:space="preserve">cuyas revisiones tarifarias recientes no reconocieron parte de las inversiones </w:t>
      </w:r>
      <w:r w:rsidR="00013575">
        <w:rPr>
          <w:lang w:val="es-PE"/>
        </w:rPr>
        <w:t xml:space="preserve">eficientes </w:t>
      </w:r>
      <w:r w:rsidRPr="0078313E">
        <w:rPr>
          <w:lang w:val="es-PE"/>
        </w:rPr>
        <w:t>ejecutadas, con el consiguiente freno a la expansión de sus redes. El reto de la siguiente etapa es doble: acelerar el crecimiento de las regiones ya concesionadas y abrir el camino hacia las que aún no tienen cobertura.</w:t>
      </w:r>
    </w:p>
    <w:p w14:paraId="1C821C99" w14:textId="77777777" w:rsidR="00180FC4" w:rsidRDefault="00D83036">
      <w:pPr>
        <w:keepNext/>
        <w:spacing w:before="160"/>
        <w:jc w:val="center"/>
        <w:rPr>
          <w:lang w:val="es-PE"/>
        </w:rPr>
      </w:pPr>
      <w:r>
        <w:rPr>
          <w:noProof/>
        </w:rPr>
        <w:lastRenderedPageBreak/>
        <w:drawing>
          <wp:inline distT="0" distB="0" distL="0" distR="0" wp14:anchorId="783F33B0" wp14:editId="2BAEF0E2">
            <wp:extent cx="4320000" cy="2728092"/>
            <wp:effectExtent l="0" t="0" r="0" b="0"/>
            <wp:docPr id="90093" name="Picture 9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9.png"/>
                    <pic:cNvPicPr/>
                  </pic:nvPicPr>
                  <pic:blipFill>
                    <a:blip r:embed="rId19"/>
                    <a:stretch>
                      <a:fillRect/>
                    </a:stretch>
                  </pic:blipFill>
                  <pic:spPr>
                    <a:xfrm>
                      <a:off x="0" y="0"/>
                      <a:ext cx="4320000" cy="2728092"/>
                    </a:xfrm>
                    <a:prstGeom prst="rect">
                      <a:avLst/>
                    </a:prstGeom>
                  </pic:spPr>
                </pic:pic>
              </a:graphicData>
            </a:graphic>
          </wp:inline>
        </w:drawing>
      </w:r>
    </w:p>
    <w:p w14:paraId="44FC6B1F" w14:textId="6D6234B5" w:rsidR="00180FC4" w:rsidRDefault="00D83036">
      <w:pPr>
        <w:keepLines/>
        <w:rPr>
          <w:lang w:val="es-PE"/>
        </w:rPr>
      </w:pPr>
      <w:r w:rsidRPr="0078313E">
        <w:rPr>
          <w:lang w:val="es-PE"/>
        </w:rPr>
        <w:t>Es</w:t>
      </w:r>
      <w:r w:rsidR="00E469C3">
        <w:rPr>
          <w:lang w:val="es-PE"/>
        </w:rPr>
        <w:t>os objetivos dependen</w:t>
      </w:r>
      <w:r w:rsidRPr="0078313E">
        <w:rPr>
          <w:lang w:val="es-PE"/>
        </w:rPr>
        <w:t xml:space="preserve"> de dos motores que actúan en secuencia y que es necesario no confundir. La red la tiende el concesionario con inversión propia, que recupera a través de la tarifa; el aporte público al tendido ha sido puntual, concentrado en el plan Con Punche Perú</w:t>
      </w:r>
      <w:r>
        <w:rPr>
          <w:lang w:val="es-PE"/>
        </w:rPr>
        <w:t>,</w:t>
      </w:r>
      <w:r w:rsidRPr="0078313E">
        <w:rPr>
          <w:lang w:val="es-PE"/>
        </w:rPr>
        <w:t xml:space="preserve"> de 2023, que financió algo más de mil kilómetros frente a los cerca de 28 mil que suma hoy la red nacional. Sobre esa red actúa el segundo motor, el Bonogas, el programa del FISE que financia la conexión y la instalación interna de los hogares: en los estratos de menores ingresos no exige devolución y, en el resto, se repaga sin intereses a través del recibo. Desde 2021, el fuerte incremento de sus recursos permitió que cerca de nueve de cada diez conexiones residenciales nuevas fueran financiadas por el programa, que acumula más de 1,7 millones de conexiones. En 2025 ese impulso se replegó. El presupuesto se redujo y el plan anual de promociones se aprobó recién en agosto; las conexiones financiadas en el año fueron solo 94 mil.</w:t>
      </w:r>
    </w:p>
    <w:p w14:paraId="674195DA" w14:textId="61258D40" w:rsidR="00180FC4" w:rsidRDefault="00D83036">
      <w:pPr>
        <w:keepLines/>
        <w:rPr>
          <w:lang w:val="es-PE"/>
        </w:rPr>
      </w:pPr>
      <w:r w:rsidRPr="0078313E">
        <w:rPr>
          <w:lang w:val="es-PE"/>
        </w:rPr>
        <w:t xml:space="preserve">En julio de 2026, además, el FISE dio por culminado el Bonogas en Áncash, Cajamarca, La Libertad y Lambayeque, al agotarse el potencial de usuarios elegibles. El dato ilustra la secuencia: en la Concesión Norte las redes dejaron de extenderse en medio del proceso tarifario, de modo que la penetración sobre las redes existentes es alta, pero la cobertura dejó de avanzar. El programa no se agotó porque falten hogares, sino porque dejó de haber red nueva donde conectarlos; con redes nuevamente en expansión, el universo de usuarios elegibles volvería a crecer. La experiencia reciente deja una lección clara para la política pública: cuando el financiamiento opera a plena capacidad, el sector conecta </w:t>
      </w:r>
      <w:r>
        <w:rPr>
          <w:lang w:val="es-PE"/>
        </w:rPr>
        <w:t xml:space="preserve">cerca </w:t>
      </w:r>
      <w:r w:rsidRPr="0078313E">
        <w:rPr>
          <w:lang w:val="es-PE"/>
        </w:rPr>
        <w:t>de 300 mil hogares por año. Recuperar esa escala y orientarla hacia los territorios donde queda potencial es una palanca directa, siempre que haya red nueva sobre la cual operar.</w:t>
      </w:r>
    </w:p>
    <w:p w14:paraId="22A66B71" w14:textId="624344A2" w:rsidR="00180FC4" w:rsidRDefault="00D83036">
      <w:pPr>
        <w:keepLines/>
        <w:rPr>
          <w:lang w:val="es-PE"/>
        </w:rPr>
      </w:pPr>
      <w:r w:rsidRPr="0078313E">
        <w:rPr>
          <w:lang w:val="es-PE"/>
        </w:rPr>
        <w:t>El consumo de los usuarios ya conectados, por su parte, siguió creciendo con fuerza. En un año en que la generación eléctrica demandó menos gas por la buena hidrología, los segmentos vinculados a la masificación fueron los únicos que elevaron su consumo</w:t>
      </w:r>
      <w:r w:rsidR="00D02329">
        <w:rPr>
          <w:lang w:val="es-PE"/>
        </w:rPr>
        <w:t xml:space="preserve"> significativamente</w:t>
      </w:r>
      <w:r w:rsidRPr="0078313E">
        <w:rPr>
          <w:lang w:val="es-PE"/>
        </w:rPr>
        <w:t>: los hogares y comercios lo hicieron en 11 % y el GNV en 5 %. Ese consumo creció casi al doble de la velocidad a la que crece su número de conexiones (11 % frente a 6 %). La diferencia tendría dos fuentes: conexiones de años anteriores que recién empiezan a consumir y hogares ya conectados que usan más gas. En ambos casos, la base instalada consume cada vez más.</w:t>
      </w:r>
      <w:r w:rsidR="00724334">
        <w:rPr>
          <w:lang w:val="es-PE"/>
        </w:rPr>
        <w:t xml:space="preserve"> Asimismo, </w:t>
      </w:r>
      <w:r w:rsidRPr="0078313E">
        <w:rPr>
          <w:lang w:val="es-PE"/>
        </w:rPr>
        <w:t>el espacio para seguir creciendo es amplio: todo el consumo residencial y comercial del país equivale aún a menos de la quinta parte del gas que se reinyecta a los yacimientos por falta de demanda.</w:t>
      </w:r>
    </w:p>
    <w:p w14:paraId="3130F452" w14:textId="77777777" w:rsidR="007A7FEE" w:rsidRDefault="00D83036">
      <w:pPr>
        <w:keepNext/>
        <w:spacing w:before="160"/>
        <w:jc w:val="center"/>
        <w:rPr>
          <w:lang w:val="es-PE"/>
        </w:rPr>
      </w:pPr>
      <w:r>
        <w:rPr>
          <w:noProof/>
        </w:rPr>
        <w:lastRenderedPageBreak/>
        <w:drawing>
          <wp:inline distT="0" distB="0" distL="0" distR="0" wp14:anchorId="715BD103" wp14:editId="6A6E41CB">
            <wp:extent cx="4320000" cy="2861299"/>
            <wp:effectExtent l="0" t="0" r="0" b="0"/>
            <wp:docPr id="90094" name="Picture 9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82.png"/>
                    <pic:cNvPicPr/>
                  </pic:nvPicPr>
                  <pic:blipFill>
                    <a:blip r:embed="rId92"/>
                    <a:stretch>
                      <a:fillRect/>
                    </a:stretch>
                  </pic:blipFill>
                  <pic:spPr>
                    <a:xfrm>
                      <a:off x="0" y="0"/>
                      <a:ext cx="4320000" cy="2861299"/>
                    </a:xfrm>
                    <a:prstGeom prst="rect">
                      <a:avLst/>
                    </a:prstGeom>
                  </pic:spPr>
                </pic:pic>
              </a:graphicData>
            </a:graphic>
          </wp:inline>
        </w:drawing>
      </w:r>
    </w:p>
    <w:p w14:paraId="65748618" w14:textId="44F4BC01" w:rsidR="00180FC4" w:rsidRDefault="00D83036">
      <w:pPr>
        <w:keepLines/>
        <w:rPr>
          <w:lang w:val="es-PE"/>
        </w:rPr>
      </w:pPr>
      <w:r w:rsidRPr="0078313E">
        <w:rPr>
          <w:lang w:val="es-PE"/>
        </w:rPr>
        <w:t>En el frente vehicular, las conversiones siguen ampliando el parque. Al cierre de 2025, cerca de 528 mil vehículos contaban con certificado vigente para operar a gas natural: alrededor de uno de cada seis vehículos livianos del país, cuyo parque bordea los 3,2 millones. De ellos, unos 351 mil cargaron GNV en diciembre, abastecidos por 324 estaciones de servicio</w:t>
      </w:r>
      <w:r w:rsidR="00AD2104">
        <w:rPr>
          <w:lang w:val="es-PE"/>
        </w:rPr>
        <w:t xml:space="preserve"> a nivel nacional</w:t>
      </w:r>
      <w:r w:rsidRPr="0078313E">
        <w:rPr>
          <w:lang w:val="es-PE"/>
        </w:rPr>
        <w:t>. Las conversiones de autos particulares se moderaron por tercer año consecutivo, tras el auge excepcional de 2022, cuando el estallido de la guerra entre Rusia y Ucrania disparó los precios de los combustibles líquidos y coincidió con la ampliación del financiamiento del programa Ahorro GNV, que cubre el íntegro de la conversión sin cuota inicial ni intereses y acumula 176 mil conversiones financiadas. Con una gasolina más barata y un presupuesto público menor, el programa moderó su ritmo en 2025. Como en el caso de las conexiones, la capacidad de crecer está intacta y responde con rapidez cuando los incentivos acompañan.</w:t>
      </w:r>
    </w:p>
    <w:p w14:paraId="5A1EBD56" w14:textId="77777777" w:rsidR="00C75A27" w:rsidRDefault="00D4093E">
      <w:pPr>
        <w:spacing w:before="160"/>
        <w:jc w:val="center"/>
      </w:pPr>
      <w:r>
        <w:rPr>
          <w:noProof/>
        </w:rPr>
        <w:drawing>
          <wp:inline distT="0" distB="0" distL="0" distR="0" wp14:anchorId="22DF038E" wp14:editId="60982D42">
            <wp:extent cx="4320000" cy="2698051"/>
            <wp:effectExtent l="0" t="0" r="0" b="0"/>
            <wp:docPr id="90095" name="Picture 9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10.png"/>
                    <pic:cNvPicPr/>
                  </pic:nvPicPr>
                  <pic:blipFill>
                    <a:blip r:embed="rId20"/>
                    <a:stretch>
                      <a:fillRect/>
                    </a:stretch>
                  </pic:blipFill>
                  <pic:spPr>
                    <a:xfrm>
                      <a:off x="0" y="0"/>
                      <a:ext cx="4320000" cy="2698051"/>
                    </a:xfrm>
                    <a:prstGeom prst="rect">
                      <a:avLst/>
                    </a:prstGeom>
                  </pic:spPr>
                </pic:pic>
              </a:graphicData>
            </a:graphic>
          </wp:inline>
        </w:drawing>
      </w:r>
    </w:p>
    <w:p w14:paraId="685270B8" w14:textId="77777777" w:rsidR="00C75A27" w:rsidRDefault="00D4093E">
      <w:pPr>
        <w:spacing w:before="160"/>
        <w:jc w:val="center"/>
      </w:pPr>
      <w:r>
        <w:rPr>
          <w:noProof/>
        </w:rPr>
        <w:lastRenderedPageBreak/>
        <w:drawing>
          <wp:inline distT="0" distB="0" distL="0" distR="0" wp14:anchorId="490D328A" wp14:editId="1A58B1C0">
            <wp:extent cx="4320000" cy="2724156"/>
            <wp:effectExtent l="0" t="0" r="0" b="0"/>
            <wp:docPr id="90096" name="Picture 9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84.png"/>
                    <pic:cNvPicPr/>
                  </pic:nvPicPr>
                  <pic:blipFill>
                    <a:blip r:embed="rId93"/>
                    <a:stretch>
                      <a:fillRect/>
                    </a:stretch>
                  </pic:blipFill>
                  <pic:spPr>
                    <a:xfrm>
                      <a:off x="0" y="0"/>
                      <a:ext cx="4320000" cy="2724156"/>
                    </a:xfrm>
                    <a:prstGeom prst="rect">
                      <a:avLst/>
                    </a:prstGeom>
                  </pic:spPr>
                </pic:pic>
              </a:graphicData>
            </a:graphic>
          </wp:inline>
        </w:drawing>
      </w:r>
    </w:p>
    <w:p w14:paraId="36846320" w14:textId="77777777" w:rsidR="00180FC4" w:rsidRDefault="00180FC4">
      <w:pPr>
        <w:keepNext/>
        <w:spacing w:before="160"/>
        <w:jc w:val="center"/>
        <w:rPr>
          <w:lang w:val="es-PE"/>
        </w:rPr>
      </w:pPr>
    </w:p>
    <w:p w14:paraId="6A76F447" w14:textId="6E0DC63D" w:rsidR="00180FC4" w:rsidRDefault="00D83036">
      <w:pPr>
        <w:keepLines/>
        <w:rPr>
          <w:lang w:val="es-PE"/>
        </w:rPr>
      </w:pPr>
      <w:r w:rsidRPr="0078313E">
        <w:rPr>
          <w:lang w:val="es-PE"/>
        </w:rPr>
        <w:t xml:space="preserve">El balance del 2025 es, en </w:t>
      </w:r>
      <w:r w:rsidR="00527A3B">
        <w:rPr>
          <w:lang w:val="es-PE"/>
        </w:rPr>
        <w:t>síntesis</w:t>
      </w:r>
      <w:r w:rsidRPr="0078313E">
        <w:rPr>
          <w:lang w:val="es-PE"/>
        </w:rPr>
        <w:t xml:space="preserve">, el de un sector que sigue sumando clientes y consumo sobre una base cada vez mayor. Sus dos palancas para acelerar están identificadas: una regulación tarifaria que remunere la </w:t>
      </w:r>
      <w:r>
        <w:rPr>
          <w:lang w:val="es-PE"/>
        </w:rPr>
        <w:t>inversión en infraestructura y los costos de operación y mantenimiento, y que permita</w:t>
      </w:r>
      <w:r w:rsidRPr="0078313E">
        <w:rPr>
          <w:lang w:val="es-PE"/>
        </w:rPr>
        <w:t xml:space="preserve"> extender a las regiones el dinamismo que Lima ya </w:t>
      </w:r>
      <w:r>
        <w:rPr>
          <w:lang w:val="es-PE"/>
        </w:rPr>
        <w:t>recorrió; y un</w:t>
      </w:r>
      <w:r w:rsidRPr="0078313E">
        <w:rPr>
          <w:lang w:val="es-PE"/>
        </w:rPr>
        <w:t xml:space="preserve"> financiamiento de conexiones que vuelva a operar a plena capacidad.</w:t>
      </w:r>
    </w:p>
    <w:p w14:paraId="1F7847D1" w14:textId="202F82B3" w:rsidR="006D18EB" w:rsidRPr="006D18EB" w:rsidRDefault="00D83036" w:rsidP="006D18EB">
      <w:pPr>
        <w:pStyle w:val="Ttulo2"/>
        <w:rPr>
          <w:lang w:val="es-PE"/>
        </w:rPr>
      </w:pPr>
      <w:bookmarkStart w:id="37" w:name="_Idx_4_2"/>
      <w:r w:rsidRPr="0078313E">
        <w:rPr>
          <w:lang w:val="es-PE"/>
        </w:rPr>
        <w:t xml:space="preserve">4.2. Hitos </w:t>
      </w:r>
      <w:r w:rsidR="008565B2" w:rsidRPr="0078313E">
        <w:rPr>
          <w:lang w:val="es-PE"/>
        </w:rPr>
        <w:t>claves alcanzados recientemente</w:t>
      </w:r>
      <w:r w:rsidRPr="0078313E">
        <w:rPr>
          <w:lang w:val="es-PE"/>
        </w:rPr>
        <w:t xml:space="preserve"> en el sector gas natural</w:t>
      </w:r>
      <w:bookmarkEnd w:id="37"/>
    </w:p>
    <w:p w14:paraId="071D0374" w14:textId="50DA1C4B" w:rsidR="002B7C86" w:rsidRPr="0078313E" w:rsidRDefault="00D83036">
      <w:pPr>
        <w:keepLines/>
        <w:rPr>
          <w:lang w:val="es-PE"/>
        </w:rPr>
      </w:pPr>
      <w:r w:rsidRPr="0078313E">
        <w:rPr>
          <w:highlight w:val="yellow"/>
          <w:lang w:val="es-PE"/>
        </w:rPr>
        <w:t xml:space="preserve">Más allá de las cifras agregadas, el último año dejó una serie de hitos concretos que muestran a la masificación avanzando en varios frentes a la vez: el gas natural entrando a más servicios públicos, y al transporte público y minero, junto con avances en la oferta y en las reglas de juego del sector. A </w:t>
      </w:r>
      <w:r w:rsidR="009C0B74" w:rsidRPr="0078313E">
        <w:rPr>
          <w:highlight w:val="yellow"/>
          <w:lang w:val="es-PE"/>
        </w:rPr>
        <w:t>continuación,</w:t>
      </w:r>
      <w:r w:rsidRPr="0078313E">
        <w:rPr>
          <w:highlight w:val="yellow"/>
          <w:lang w:val="es-PE"/>
        </w:rPr>
        <w:t xml:space="preserve"> se reseñan los principales, ocurridos entre setiembre de 2025 y lo que va de 2026.</w:t>
      </w:r>
    </w:p>
    <w:p w14:paraId="17E43D84" w14:textId="77777777" w:rsidR="002B7C86" w:rsidRPr="0078313E" w:rsidRDefault="00053D38">
      <w:pPr>
        <w:pStyle w:val="Ttulo3"/>
        <w:spacing w:before="240" w:after="40"/>
        <w:rPr>
          <w:lang w:val="es-PE"/>
        </w:rPr>
      </w:pPr>
      <w:r w:rsidRPr="0078313E">
        <w:rPr>
          <w:lang w:val="es-PE"/>
        </w:rPr>
        <w:t xml:space="preserve">4.2.1. </w:t>
      </w:r>
      <w:r w:rsidR="00D83036" w:rsidRPr="0078313E">
        <w:rPr>
          <w:lang w:val="es-PE"/>
        </w:rPr>
        <w:t>El gas natural llega a más servicios públicos y hogares vulnerables</w:t>
      </w:r>
    </w:p>
    <w:p w14:paraId="2D2DF88B" w14:textId="272AD656" w:rsidR="002B7C86" w:rsidRPr="0078313E" w:rsidRDefault="00E1505A">
      <w:pPr>
        <w:pStyle w:val="Ttulo4"/>
        <w:spacing w:after="40"/>
        <w:rPr>
          <w:lang w:val="es-PE"/>
        </w:rPr>
      </w:pPr>
      <w:r w:rsidRPr="0078313E">
        <w:rPr>
          <w:i w:val="0"/>
          <w:iCs w:val="0"/>
          <w:color w:val="15607F"/>
          <w:lang w:val="es-PE"/>
        </w:rPr>
        <w:t>4.2.1.1. El Bonogas escala en los colegios públicos: nuevas conexiones en San Juan de Lurigancho</w:t>
      </w:r>
      <w:r w:rsidR="00D83036" w:rsidRPr="0078313E">
        <w:rPr>
          <w:color w:val="595959"/>
          <w:sz w:val="18"/>
          <w:lang w:val="es-PE"/>
        </w:rPr>
        <w:t>· Diciembre 2025 – julio 2026</w:t>
      </w:r>
    </w:p>
    <w:p w14:paraId="57A4ABCF" w14:textId="0504768F" w:rsidR="002B7C86" w:rsidRDefault="00D83036">
      <w:pPr>
        <w:keepLines/>
        <w:rPr>
          <w:lang w:val="es-PE"/>
        </w:rPr>
      </w:pPr>
      <w:r w:rsidRPr="0078313E">
        <w:rPr>
          <w:lang w:val="es-PE"/>
        </w:rPr>
        <w:t xml:space="preserve">En julio de 2026, el programa Bonogas del FISE inauguró la conexión de dos colegios públicos de San Juan de Lurigancho </w:t>
      </w:r>
      <w:r>
        <w:rPr>
          <w:lang w:val="es-PE"/>
        </w:rPr>
        <w:t>–</w:t>
      </w:r>
      <w:r w:rsidRPr="0078313E">
        <w:rPr>
          <w:lang w:val="es-PE"/>
        </w:rPr>
        <w:t xml:space="preserve">el Bicentenario </w:t>
      </w:r>
      <w:r>
        <w:rPr>
          <w:lang w:val="es-PE"/>
        </w:rPr>
        <w:t>n.°</w:t>
      </w:r>
      <w:r w:rsidRPr="0078313E">
        <w:rPr>
          <w:lang w:val="es-PE"/>
        </w:rPr>
        <w:t xml:space="preserve"> 109 Inca Manco Cápac y el </w:t>
      </w:r>
      <w:r>
        <w:rPr>
          <w:lang w:val="es-PE"/>
        </w:rPr>
        <w:t>n.°</w:t>
      </w:r>
      <w:r w:rsidRPr="0078313E">
        <w:rPr>
          <w:lang w:val="es-PE"/>
        </w:rPr>
        <w:t xml:space="preserve"> 100 Santa Elizabeth, que atienden a más de 3</w:t>
      </w:r>
      <w:r w:rsidR="009C0B74">
        <w:rPr>
          <w:lang w:val="es-PE"/>
        </w:rPr>
        <w:t xml:space="preserve">.500 </w:t>
      </w:r>
      <w:r w:rsidRPr="0078313E">
        <w:rPr>
          <w:lang w:val="es-PE"/>
        </w:rPr>
        <w:t>estudiantes</w:t>
      </w:r>
      <w:r>
        <w:rPr>
          <w:lang w:val="es-PE"/>
        </w:rPr>
        <w:t>–</w:t>
      </w:r>
      <w:r w:rsidRPr="0078313E">
        <w:rPr>
          <w:lang w:val="es-PE"/>
        </w:rPr>
        <w:t xml:space="preserve"> y anunció la extensión a otras 15 instituciones de la UGEL 05. Se suman a </w:t>
      </w:r>
      <w:r w:rsidR="00D41D54">
        <w:rPr>
          <w:lang w:val="es-PE"/>
        </w:rPr>
        <w:t>otras</w:t>
      </w:r>
      <w:r w:rsidRPr="0078313E">
        <w:rPr>
          <w:lang w:val="es-PE"/>
        </w:rPr>
        <w:t xml:space="preserve"> dos instituciones educativas que el programa conectó en el mismo distrito en diciembre de 2025. Estas conexiones forman parte de la ampliación del componente institucional del Bonogas: de un plan inicial centrado en una decena de hospitales, el programa pasó a contemplar cerca de 280 instituciones públicas entre centros de salud y colegios </w:t>
      </w:r>
      <w:r>
        <w:rPr>
          <w:lang w:val="es-PE"/>
        </w:rPr>
        <w:t>–</w:t>
      </w:r>
      <w:r w:rsidRPr="0078313E">
        <w:rPr>
          <w:lang w:val="es-PE"/>
        </w:rPr>
        <w:t>un plan en ejecución, del que los colegios de San Juan de Lurigancho están entre los primeros conectados</w:t>
      </w:r>
      <w:r>
        <w:rPr>
          <w:lang w:val="es-PE"/>
        </w:rPr>
        <w:t>–</w:t>
      </w:r>
      <w:r w:rsidRPr="0078313E">
        <w:rPr>
          <w:lang w:val="es-PE"/>
        </w:rPr>
        <w:t>.</w:t>
      </w:r>
    </w:p>
    <w:p w14:paraId="73F98C48" w14:textId="16D2A25D" w:rsidR="0009130A" w:rsidRPr="0078313E" w:rsidRDefault="00D83036">
      <w:pPr>
        <w:keepLines/>
        <w:rPr>
          <w:lang w:val="es-PE"/>
        </w:rPr>
      </w:pPr>
      <w:r w:rsidRPr="0078313E">
        <w:rPr>
          <w:lang w:val="es-PE"/>
        </w:rPr>
        <w:t>Cocinar los alimentos escolares con gas natural reduce los costos de los programas de alimentación y asegura un suministro continuo. La escala ya es significativa: según el Minem, el Bonogas ha incorporado 926 instituciones educativas al servicio de gas natural en todo el país.</w:t>
      </w:r>
    </w:p>
    <w:p w14:paraId="326D0AF6" w14:textId="77777777" w:rsidR="0009130A" w:rsidRPr="0078313E" w:rsidRDefault="0009130A">
      <w:pPr>
        <w:rPr>
          <w:lang w:val="es-PE"/>
        </w:rPr>
      </w:pPr>
    </w:p>
    <w:p w14:paraId="39F789E4" w14:textId="16766631" w:rsidR="0009130A" w:rsidRPr="0078313E" w:rsidRDefault="0009130A">
      <w:pPr>
        <w:rPr>
          <w:lang w:val="es-PE"/>
        </w:rPr>
      </w:pPr>
      <w:r w:rsidRPr="0078313E">
        <w:rPr>
          <w:noProof/>
        </w:rPr>
        <w:lastRenderedPageBreak/>
        <w:drawing>
          <wp:inline distT="0" distB="0" distL="0" distR="0" wp14:anchorId="3F16ADF2" wp14:editId="0BB7FB06">
            <wp:extent cx="4561242" cy="2564840"/>
            <wp:effectExtent l="0" t="0" r="0" b="6985"/>
            <wp:docPr id="7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567573" cy="2568400"/>
                    </a:xfrm>
                    <a:prstGeom prst="rect">
                      <a:avLst/>
                    </a:prstGeom>
                    <a:noFill/>
                    <a:ln>
                      <a:noFill/>
                    </a:ln>
                  </pic:spPr>
                </pic:pic>
              </a:graphicData>
            </a:graphic>
          </wp:inline>
        </w:drawing>
      </w:r>
    </w:p>
    <w:p w14:paraId="28DC54AC" w14:textId="77777777" w:rsidR="003140DA" w:rsidRPr="0078313E" w:rsidRDefault="00A37447">
      <w:pPr>
        <w:keepLines/>
        <w:spacing w:before="40" w:after="200"/>
        <w:jc w:val="center"/>
        <w:rPr>
          <w:lang w:val="es-PE"/>
        </w:rPr>
      </w:pPr>
      <w:r w:rsidRPr="0078313E">
        <w:rPr>
          <w:i/>
          <w:color w:val="595959"/>
          <w:sz w:val="17"/>
          <w:lang w:val="es-PE"/>
        </w:rPr>
        <w:t>Ceremonia de conexión de gas natural en un colegio público de San Juan de Lurigancho a través del programa Bonogas del FISE, con la participación de estudiantes, docentes y autoridades.</w:t>
      </w:r>
    </w:p>
    <w:p w14:paraId="57A207A7" w14:textId="77777777" w:rsidR="003140DA" w:rsidRPr="0078313E" w:rsidRDefault="00A37447">
      <w:pPr>
        <w:keepLines/>
        <w:spacing w:before="40" w:after="200"/>
        <w:jc w:val="right"/>
        <w:rPr>
          <w:lang w:val="es-PE"/>
        </w:rPr>
      </w:pPr>
      <w:r w:rsidRPr="001B444C">
        <w:rPr>
          <w:b/>
          <w:color w:val="404040"/>
          <w:sz w:val="15"/>
          <w:lang w:val="es-PE"/>
        </w:rPr>
        <w:t xml:space="preserve">FUENTE: Ministerio de Energía y Minas. </w:t>
      </w:r>
      <w:r w:rsidRPr="001B444C">
        <w:rPr>
          <w:color w:val="404040"/>
          <w:sz w:val="15"/>
          <w:lang w:val="es-PE"/>
        </w:rPr>
        <w:t>&lt;https://www.gob.pe/institucion/minem/noticias/1414936-minem-mas-de-3-500-estudiantes-de-dos-escuelas-bicentenario-en-san-juan-de-lurigancho-ya-cuentan-con-gas-natural&gt;</w:t>
      </w:r>
    </w:p>
    <w:p w14:paraId="27A91F61" w14:textId="4FC52AB7" w:rsidR="003140DA" w:rsidRPr="0078313E" w:rsidRDefault="00A37447">
      <w:pPr>
        <w:keepNext/>
        <w:keepLines/>
        <w:rPr>
          <w:lang w:val="es-PE"/>
        </w:rPr>
      </w:pPr>
      <w:r w:rsidRPr="0078313E">
        <w:rPr>
          <w:i/>
          <w:lang w:val="es-PE"/>
        </w:rPr>
        <w:t>El propósito de nuestro programa es eliminar barreras para que instituciones públicas puedan acceder a una energía más económica, limpia y segura</w:t>
      </w:r>
      <w:r>
        <w:rPr>
          <w:i/>
          <w:lang w:val="es-PE"/>
        </w:rPr>
        <w:t>.</w:t>
      </w:r>
    </w:p>
    <w:p w14:paraId="42A64EA6" w14:textId="12DBF532" w:rsidR="0009130A" w:rsidRPr="0078313E" w:rsidRDefault="00A37447" w:rsidP="009B793A">
      <w:pPr>
        <w:pStyle w:val="Prrafodelista"/>
        <w:keepLines/>
        <w:rPr>
          <w:lang w:val="es-PE"/>
        </w:rPr>
      </w:pPr>
      <w:r w:rsidRPr="0078313E">
        <w:rPr>
          <w:i/>
          <w:lang w:val="es-PE"/>
        </w:rPr>
        <w:t>Ricardo Redhead – Director ejecutivo del FISE</w:t>
      </w:r>
    </w:p>
    <w:p w14:paraId="776D5719" w14:textId="0FDAF7B9" w:rsidR="002B7C86" w:rsidRPr="0078313E" w:rsidRDefault="00E1505A">
      <w:pPr>
        <w:pStyle w:val="Ttulo4"/>
        <w:spacing w:after="40"/>
        <w:rPr>
          <w:lang w:val="es-PE"/>
        </w:rPr>
      </w:pPr>
      <w:r w:rsidRPr="0078313E">
        <w:rPr>
          <w:i w:val="0"/>
          <w:iCs w:val="0"/>
          <w:color w:val="15607F"/>
          <w:lang w:val="es-PE"/>
        </w:rPr>
        <w:t>4.2.1.2. El gas natural entra a los grandes hospitales y llega al sur del país</w:t>
      </w:r>
      <w:r w:rsidR="00D83036" w:rsidRPr="0078313E">
        <w:rPr>
          <w:color w:val="595959"/>
          <w:sz w:val="18"/>
          <w:lang w:val="es-PE"/>
        </w:rPr>
        <w:t>· Mayo – julio 2026</w:t>
      </w:r>
    </w:p>
    <w:p w14:paraId="38B36380" w14:textId="416ECD4A" w:rsidR="002B7C86" w:rsidRPr="0078313E" w:rsidRDefault="00D83036">
      <w:pPr>
        <w:keepLines/>
        <w:rPr>
          <w:lang w:val="es-PE"/>
        </w:rPr>
      </w:pPr>
      <w:r w:rsidRPr="0078313E">
        <w:rPr>
          <w:lang w:val="es-PE"/>
        </w:rPr>
        <w:t>En julio de 2026</w:t>
      </w:r>
      <w:r>
        <w:rPr>
          <w:lang w:val="es-PE"/>
        </w:rPr>
        <w:t>,</w:t>
      </w:r>
      <w:r w:rsidRPr="0078313E">
        <w:rPr>
          <w:lang w:val="es-PE"/>
        </w:rPr>
        <w:t xml:space="preserve"> se inauguró la conexión del Hospital Nacional Cayetano Heredia, uno de los principales del país, cuyo suministro abastece áreas críticas como esterilización, lavandería, nutrición, neonatología y cuidados intensivos. Dos meses antes, el Hospital Regional Hipólito Unanue</w:t>
      </w:r>
      <w:r>
        <w:rPr>
          <w:lang w:val="es-PE"/>
        </w:rPr>
        <w:t>,</w:t>
      </w:r>
      <w:r w:rsidRPr="0078313E">
        <w:rPr>
          <w:lang w:val="es-PE"/>
        </w:rPr>
        <w:t xml:space="preserve"> de Tacna</w:t>
      </w:r>
      <w:r>
        <w:rPr>
          <w:lang w:val="es-PE"/>
        </w:rPr>
        <w:t>,</w:t>
      </w:r>
      <w:r w:rsidRPr="0078313E">
        <w:rPr>
          <w:lang w:val="es-PE"/>
        </w:rPr>
        <w:t xml:space="preserve"> se había convertido en el primer hospital del sur del Perú con gas natural, mediante un contrato con Petroperú financiado íntegramente por el FISE</w:t>
      </w:r>
      <w:r w:rsidR="00857284">
        <w:rPr>
          <w:lang w:val="es-PE"/>
        </w:rPr>
        <w:t xml:space="preserve">. </w:t>
      </w:r>
      <w:r w:rsidRPr="0078313E">
        <w:rPr>
          <w:lang w:val="es-PE"/>
        </w:rPr>
        <w:t>En Áncash, el Hospital Regional Eleazar Guzmán Barrón de Chimbote inauguró su conexión el 2 de mayo de 2026, con un ahorro estimado de 50 % en costos energéticos.</w:t>
      </w:r>
    </w:p>
    <w:p w14:paraId="54FD046F" w14:textId="126BC332" w:rsidR="002B7C86" w:rsidRPr="0078313E" w:rsidRDefault="00D83036">
      <w:pPr>
        <w:keepLines/>
        <w:rPr>
          <w:lang w:val="es-PE"/>
        </w:rPr>
      </w:pPr>
      <w:r w:rsidRPr="0078313E">
        <w:rPr>
          <w:lang w:val="es-PE"/>
        </w:rPr>
        <w:t xml:space="preserve">Con </w:t>
      </w:r>
      <w:r w:rsidR="00857284">
        <w:rPr>
          <w:lang w:val="es-PE"/>
        </w:rPr>
        <w:t>las tres</w:t>
      </w:r>
      <w:r w:rsidRPr="0078313E">
        <w:rPr>
          <w:lang w:val="es-PE"/>
        </w:rPr>
        <w:t xml:space="preserve"> obras, ya son 16 los establecimientos de salud del Minsa y EsSalud que utilizan gas natural. Para un hospital, que funciona las 24 horas, el cambio significa un suministro continuo y más económico, y libera recursos que pueden reorientarse a la atención de los pacientes.</w:t>
      </w:r>
    </w:p>
    <w:p w14:paraId="6DCA94A5" w14:textId="559F436C" w:rsidR="005D683A" w:rsidRPr="0078313E" w:rsidRDefault="005D683A">
      <w:pPr>
        <w:rPr>
          <w:lang w:val="es-PE"/>
        </w:rPr>
      </w:pPr>
      <w:r w:rsidRPr="0078313E">
        <w:rPr>
          <w:noProof/>
        </w:rPr>
        <w:lastRenderedPageBreak/>
        <w:drawing>
          <wp:inline distT="0" distB="0" distL="0" distR="0" wp14:anchorId="0E5D5DF1" wp14:editId="3336733A">
            <wp:extent cx="4076457" cy="2717165"/>
            <wp:effectExtent l="0" t="0" r="635" b="6985"/>
            <wp:docPr id="75" name="Imagen 1" descr="02djf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1" descr="02djfj"/>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079679" cy="2719313"/>
                    </a:xfrm>
                    <a:prstGeom prst="rect">
                      <a:avLst/>
                    </a:prstGeom>
                    <a:noFill/>
                    <a:ln>
                      <a:noFill/>
                    </a:ln>
                  </pic:spPr>
                </pic:pic>
              </a:graphicData>
            </a:graphic>
          </wp:inline>
        </w:drawing>
      </w:r>
    </w:p>
    <w:p w14:paraId="24390C43" w14:textId="77777777" w:rsidR="003140DA" w:rsidRPr="0078313E" w:rsidRDefault="00A37447">
      <w:pPr>
        <w:keepLines/>
        <w:spacing w:before="40" w:after="200"/>
        <w:jc w:val="center"/>
        <w:rPr>
          <w:lang w:val="es-PE"/>
        </w:rPr>
      </w:pPr>
      <w:r w:rsidRPr="0078313E">
        <w:rPr>
          <w:i/>
          <w:color w:val="595959"/>
          <w:sz w:val="17"/>
          <w:lang w:val="es-PE"/>
        </w:rPr>
        <w:t>Personal del laboratorio del Hospital Nacional Cayetano Heredia utiliza gas natural ante la mirada de autoridades del Minem y del establecimiento, tras la inauguración de la conexión al servicio.</w:t>
      </w:r>
    </w:p>
    <w:p w14:paraId="7E0C83A1" w14:textId="77777777" w:rsidR="003140DA" w:rsidRPr="0078313E" w:rsidRDefault="00A37447">
      <w:pPr>
        <w:keepLines/>
        <w:spacing w:before="40" w:after="200"/>
        <w:jc w:val="right"/>
        <w:rPr>
          <w:lang w:val="es-PE"/>
        </w:rPr>
      </w:pPr>
      <w:r w:rsidRPr="001B444C">
        <w:rPr>
          <w:b/>
          <w:color w:val="404040"/>
          <w:sz w:val="15"/>
          <w:lang w:val="es-PE"/>
        </w:rPr>
        <w:t xml:space="preserve">FUENTE: Hospital Nacional Cayetano Heredia. </w:t>
      </w:r>
      <w:r w:rsidRPr="001B444C">
        <w:rPr>
          <w:color w:val="404040"/>
          <w:sz w:val="15"/>
          <w:lang w:val="es-PE"/>
        </w:rPr>
        <w:t>&lt;https://www.gob.pe/institucion/hnch/noticias/1421353&gt;</w:t>
      </w:r>
    </w:p>
    <w:p w14:paraId="6B3B564C" w14:textId="77777777" w:rsidR="005A33A4" w:rsidRPr="0078313E" w:rsidRDefault="005A33A4">
      <w:pPr>
        <w:rPr>
          <w:lang w:val="es-PE"/>
        </w:rPr>
      </w:pPr>
    </w:p>
    <w:p w14:paraId="136F7170" w14:textId="60838F72" w:rsidR="005D683A" w:rsidRPr="0078313E" w:rsidRDefault="005A33A4">
      <w:pPr>
        <w:keepNext/>
        <w:keepLines/>
        <w:rPr>
          <w:i/>
          <w:iCs/>
          <w:lang w:val="es-PE"/>
        </w:rPr>
      </w:pPr>
      <w:r w:rsidRPr="0078313E">
        <w:rPr>
          <w:i/>
          <w:iCs/>
          <w:lang w:val="es-PE"/>
        </w:rPr>
        <w:t>En vísperas de nuestro día central de aniversario, el mejor regalo que podemos hacerle a nuestra institución es empezar a trabajar con gas natural. Esta tecnología tiene un impacto ecoamigable y, sobre todo, representa un ahorro económico significativo</w:t>
      </w:r>
      <w:r>
        <w:rPr>
          <w:i/>
          <w:iCs/>
          <w:lang w:val="es-PE"/>
        </w:rPr>
        <w:t>.</w:t>
      </w:r>
    </w:p>
    <w:p w14:paraId="199EB496" w14:textId="3222FF7A" w:rsidR="00E1505A" w:rsidRPr="0078313E" w:rsidRDefault="00AB3B02" w:rsidP="00E1505A">
      <w:pPr>
        <w:pStyle w:val="Prrafodelista"/>
        <w:keepLines/>
        <w:numPr>
          <w:ilvl w:val="0"/>
          <w:numId w:val="10"/>
        </w:numPr>
        <w:rPr>
          <w:i/>
          <w:iCs/>
          <w:lang w:val="es-PE"/>
        </w:rPr>
      </w:pPr>
      <w:r w:rsidRPr="004F3DB7">
        <w:rPr>
          <w:i/>
          <w:iCs/>
          <w:lang w:val="es-PE"/>
        </w:rPr>
        <w:t xml:space="preserve">Manuel Díaz De </w:t>
      </w:r>
      <w:r>
        <w:rPr>
          <w:i/>
          <w:iCs/>
          <w:lang w:val="es-PE"/>
        </w:rPr>
        <w:t>l</w:t>
      </w:r>
      <w:r w:rsidRPr="004F3DB7">
        <w:rPr>
          <w:i/>
          <w:iCs/>
          <w:lang w:val="es-PE"/>
        </w:rPr>
        <w:t xml:space="preserve">os Santos </w:t>
      </w:r>
      <w:r w:rsidR="009D5421" w:rsidRPr="004F3DB7">
        <w:rPr>
          <w:i/>
          <w:iCs/>
          <w:lang w:val="es-PE"/>
        </w:rPr>
        <w:t>–</w:t>
      </w:r>
      <w:r w:rsidRPr="004F3DB7">
        <w:rPr>
          <w:i/>
          <w:iCs/>
          <w:lang w:val="es-PE"/>
        </w:rPr>
        <w:t xml:space="preserve"> </w:t>
      </w:r>
      <w:r w:rsidR="009D5421" w:rsidRPr="004F3DB7">
        <w:rPr>
          <w:i/>
          <w:iCs/>
          <w:lang w:val="es-PE"/>
        </w:rPr>
        <w:t>Director del Hospital Nacional Cayetano Heredia</w:t>
      </w:r>
    </w:p>
    <w:p w14:paraId="0F947E17" w14:textId="50DA2CDC" w:rsidR="002B7C86" w:rsidRPr="0078313E" w:rsidRDefault="0022300F">
      <w:pPr>
        <w:pStyle w:val="Ttulo3"/>
        <w:spacing w:before="240" w:after="40"/>
        <w:rPr>
          <w:lang w:val="es-PE"/>
        </w:rPr>
      </w:pPr>
      <w:r w:rsidRPr="0078313E">
        <w:rPr>
          <w:lang w:val="es-PE"/>
        </w:rPr>
        <w:t xml:space="preserve">4.2.2. </w:t>
      </w:r>
      <w:r w:rsidR="00D83036" w:rsidRPr="0078313E">
        <w:rPr>
          <w:lang w:val="es-PE"/>
        </w:rPr>
        <w:t>El gas natural gana terreno en el transporte</w:t>
      </w:r>
    </w:p>
    <w:p w14:paraId="66EBA4DD" w14:textId="1F739DF3" w:rsidR="002B7C86" w:rsidRPr="0078313E" w:rsidRDefault="00E1505A">
      <w:pPr>
        <w:pStyle w:val="Ttulo4"/>
        <w:spacing w:after="40"/>
        <w:rPr>
          <w:lang w:val="es-PE"/>
        </w:rPr>
      </w:pPr>
      <w:r w:rsidRPr="00B76DC9">
        <w:rPr>
          <w:i w:val="0"/>
          <w:iCs w:val="0"/>
          <w:color w:val="15607F"/>
          <w:lang w:val="es-PE"/>
        </w:rPr>
        <w:t>4.2.2.1. El transporte público de Lima y Callao se renueva con buses a GNV</w:t>
      </w:r>
      <w:r w:rsidR="00D83036" w:rsidRPr="0078313E">
        <w:rPr>
          <w:color w:val="595959"/>
          <w:sz w:val="18"/>
          <w:lang w:val="es-PE"/>
        </w:rPr>
        <w:t>· Noviembre 2025 – julio 2026</w:t>
      </w:r>
    </w:p>
    <w:p w14:paraId="792095DD" w14:textId="317F46AC" w:rsidR="002B7C86" w:rsidRPr="0078313E" w:rsidRDefault="00D83036">
      <w:pPr>
        <w:keepLines/>
        <w:rPr>
          <w:lang w:val="es-PE"/>
        </w:rPr>
      </w:pPr>
      <w:r w:rsidRPr="0078313E">
        <w:rPr>
          <w:lang w:val="es-PE"/>
        </w:rPr>
        <w:t>Entre fines de 2025 y mediados de 2026, más de 70 buses nuevos a gas natural entraron a las calles de Lima y Callao en al menos seis flotas del transporte público formal: siete unidades del servicio AeroDirecto a Ventanilla (noviembre), cinco buses con botón de pánico en la ruta Ate–Callao (abril), los 30 buses del nuevo Corredor Rosado entre Callao y el centro de Lima (mayo), quince unidades entre San Juan de Lurigancho y Pachacámac (mayo), diez entre Santa Anita y San Martín de Porres (junio) y cuatro más entre Villa María del Triunfo y el centro de la ciudad (julio).</w:t>
      </w:r>
    </w:p>
    <w:p w14:paraId="7222287B" w14:textId="77777777" w:rsidR="002B7C86" w:rsidRPr="0078313E" w:rsidRDefault="00D83036">
      <w:pPr>
        <w:keepLines/>
        <w:rPr>
          <w:lang w:val="es-PE"/>
        </w:rPr>
      </w:pPr>
      <w:r w:rsidRPr="0078313E">
        <w:rPr>
          <w:lang w:val="es-PE"/>
        </w:rPr>
        <w:t>Detrás hay una política deliberada. La ATU premia la renovación de flota con tecnologías limpias ampliando los títulos habilitantes de las empresas hasta en 13 años adicionales cuando renuevan con buses a GNV (y hasta 19 con eléctricos), y reporta más de 700 unidades nuevas de distintas tecnologías incorporadas al transporte formal, con la meta de superar las 9 mil en los próximos años. El gas natural se perfila como el combustible central de esa renovación.</w:t>
      </w:r>
    </w:p>
    <w:p w14:paraId="6D8320BC" w14:textId="77777777" w:rsidR="007A7FEE" w:rsidRDefault="00D83036">
      <w:pPr>
        <w:keepNext/>
        <w:jc w:val="center"/>
        <w:rPr>
          <w:lang w:val="es-PE"/>
        </w:rPr>
      </w:pPr>
      <w:r>
        <w:rPr>
          <w:noProof/>
        </w:rPr>
        <w:lastRenderedPageBreak/>
        <w:drawing>
          <wp:inline distT="0" distB="0" distL="0" distR="0" wp14:anchorId="0C202CA7" wp14:editId="495DB1B9">
            <wp:extent cx="4680000" cy="3118781"/>
            <wp:effectExtent l="0" t="0" r="0" b="0"/>
            <wp:docPr id="77" name="Picture 1801677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hito_buses.jpg"/>
                    <pic:cNvPicPr/>
                  </pic:nvPicPr>
                  <pic:blipFill>
                    <a:blip r:embed="rId96"/>
                    <a:stretch>
                      <a:fillRect/>
                    </a:stretch>
                  </pic:blipFill>
                  <pic:spPr>
                    <a:xfrm>
                      <a:off x="0" y="0"/>
                      <a:ext cx="4680000" cy="3118781"/>
                    </a:xfrm>
                    <a:prstGeom prst="rect">
                      <a:avLst/>
                    </a:prstGeom>
                  </pic:spPr>
                </pic:pic>
              </a:graphicData>
            </a:graphic>
          </wp:inline>
        </w:drawing>
      </w:r>
    </w:p>
    <w:p w14:paraId="5A8BC66E" w14:textId="77777777" w:rsidR="003140DA" w:rsidRPr="0078313E" w:rsidRDefault="00A37447">
      <w:pPr>
        <w:keepLines/>
        <w:spacing w:before="40" w:after="200"/>
        <w:jc w:val="center"/>
        <w:rPr>
          <w:lang w:val="es-PE"/>
        </w:rPr>
      </w:pPr>
      <w:r w:rsidRPr="0078313E">
        <w:rPr>
          <w:i/>
          <w:color w:val="595959"/>
          <w:sz w:val="17"/>
          <w:lang w:val="es-PE"/>
        </w:rPr>
        <w:t>Nuevos buses a GNV de la empresa Transportes Santa Anita, presentados por la ATU antes de entrar en operación en la ruta que conecta Lima Este con Lima Norte.</w:t>
      </w:r>
    </w:p>
    <w:p w14:paraId="3F4846CC" w14:textId="77777777" w:rsidR="003140DA" w:rsidRPr="0078313E" w:rsidRDefault="00A37447">
      <w:pPr>
        <w:keepLines/>
        <w:spacing w:before="40" w:after="200"/>
        <w:jc w:val="right"/>
        <w:rPr>
          <w:lang w:val="es-PE"/>
        </w:rPr>
      </w:pPr>
      <w:r w:rsidRPr="001B444C">
        <w:rPr>
          <w:b/>
          <w:color w:val="404040"/>
          <w:sz w:val="15"/>
          <w:lang w:val="es-PE"/>
        </w:rPr>
        <w:t xml:space="preserve">FUENTE: ATU / El Gas Noticias. </w:t>
      </w:r>
      <w:r w:rsidRPr="001B444C">
        <w:rPr>
          <w:color w:val="404040"/>
          <w:sz w:val="15"/>
          <w:lang w:val="es-PE"/>
        </w:rPr>
        <w:t>&lt;https://elgasnoticias.com/nuevos-buses-a-gnv-se-incorporan-al-transporte-publico-para-conectar-santa-anita-con-san-martin-de-porres/&gt;</w:t>
      </w:r>
    </w:p>
    <w:p w14:paraId="2377F7CA" w14:textId="4271ACD5" w:rsidR="003140DA" w:rsidRPr="0078313E" w:rsidRDefault="00A37447">
      <w:pPr>
        <w:keepNext/>
        <w:keepLines/>
        <w:rPr>
          <w:lang w:val="es-PE"/>
        </w:rPr>
      </w:pPr>
      <w:r w:rsidRPr="0078313E">
        <w:rPr>
          <w:i/>
          <w:lang w:val="es-PE"/>
        </w:rPr>
        <w:t>Estamos pasando de la micromovilidad a la macromovilidad con el ingreso de buses con mayor capacidad para trasladar usuarios por viaje</w:t>
      </w:r>
      <w:r>
        <w:rPr>
          <w:i/>
          <w:lang w:val="es-PE"/>
        </w:rPr>
        <w:t>.</w:t>
      </w:r>
    </w:p>
    <w:p w14:paraId="4C69B2A9" w14:textId="77777777" w:rsidR="003140DA" w:rsidRDefault="00A37447">
      <w:pPr>
        <w:pStyle w:val="Prrafodelista"/>
        <w:keepLines/>
        <w:rPr>
          <w:i/>
          <w:lang w:val="es-PE"/>
        </w:rPr>
      </w:pPr>
      <w:r w:rsidRPr="0078313E">
        <w:rPr>
          <w:i/>
          <w:lang w:val="es-PE"/>
        </w:rPr>
        <w:t>David Hernández – Presidente ejecutivo de la ATU</w:t>
      </w:r>
    </w:p>
    <w:p w14:paraId="1560C0C1" w14:textId="77777777" w:rsidR="009B793A" w:rsidRDefault="009B793A">
      <w:pPr>
        <w:pStyle w:val="Prrafodelista"/>
        <w:rPr>
          <w:i/>
          <w:lang w:val="es-PE"/>
        </w:rPr>
      </w:pPr>
    </w:p>
    <w:p w14:paraId="44A1FA8F" w14:textId="512851B7" w:rsidR="002B7C86" w:rsidRPr="0078313E" w:rsidRDefault="006F3F89">
      <w:pPr>
        <w:pStyle w:val="Ttulo4"/>
        <w:spacing w:after="40"/>
        <w:rPr>
          <w:lang w:val="es-PE"/>
        </w:rPr>
      </w:pPr>
      <w:r w:rsidRPr="0078313E">
        <w:rPr>
          <w:i w:val="0"/>
          <w:iCs w:val="0"/>
          <w:color w:val="15607F"/>
          <w:lang w:val="es-PE"/>
        </w:rPr>
        <w:t>4.2.2.2. Quavii inaugura la primera estación de GNV de Sullana y amplía la red del norte</w:t>
      </w:r>
      <w:r w:rsidR="00D83036" w:rsidRPr="0078313E">
        <w:rPr>
          <w:color w:val="595959"/>
          <w:sz w:val="18"/>
          <w:lang w:val="es-PE"/>
        </w:rPr>
        <w:t>· Octubre 2025 – febrero 2026</w:t>
      </w:r>
    </w:p>
    <w:p w14:paraId="15161ED0" w14:textId="5E8A82D9" w:rsidR="002B7C86" w:rsidRPr="0078313E" w:rsidRDefault="00D83036">
      <w:pPr>
        <w:keepLines/>
        <w:rPr>
          <w:lang w:val="es-PE"/>
        </w:rPr>
      </w:pPr>
      <w:r w:rsidRPr="0078313E">
        <w:rPr>
          <w:lang w:val="es-PE"/>
        </w:rPr>
        <w:t>A fines de octubre de 2025, Quavii inauguró la primera estación de GNV</w:t>
      </w:r>
      <w:r w:rsidR="009B793A">
        <w:rPr>
          <w:lang w:val="es-PE"/>
        </w:rPr>
        <w:t xml:space="preserve">-C </w:t>
      </w:r>
      <w:r w:rsidRPr="0078313E">
        <w:rPr>
          <w:lang w:val="es-PE"/>
        </w:rPr>
        <w:t>de Sullana (Piura), la primera del norte abastecida directamente desde su red de ductos. El GNV</w:t>
      </w:r>
      <w:r w:rsidR="009B793A">
        <w:rPr>
          <w:lang w:val="es-PE"/>
        </w:rPr>
        <w:t xml:space="preserve">-C </w:t>
      </w:r>
      <w:r w:rsidRPr="0078313E">
        <w:rPr>
          <w:lang w:val="es-PE"/>
        </w:rPr>
        <w:t xml:space="preserve">es gas natural comprimido que se despacha en surtidores, como la gasolina: es el combustible de los autos, taxis y buses urbanos. Con la nueva estación, la macrorregión llegó a 14 estaciones operativas </w:t>
      </w:r>
      <w:r>
        <w:rPr>
          <w:lang w:val="es-PE"/>
        </w:rPr>
        <w:t>–</w:t>
      </w:r>
      <w:r w:rsidRPr="0078313E">
        <w:rPr>
          <w:lang w:val="es-PE"/>
        </w:rPr>
        <w:t>en Chimbote, Trujillo, Chiclayo y Piura–, con dos más en construcción</w:t>
      </w:r>
      <w:r w:rsidR="007569E2">
        <w:rPr>
          <w:lang w:val="es-PE"/>
        </w:rPr>
        <w:t>. A</w:t>
      </w:r>
      <w:r w:rsidRPr="0078313E">
        <w:rPr>
          <w:lang w:val="es-PE"/>
        </w:rPr>
        <w:t xml:space="preserve"> fines de 2025</w:t>
      </w:r>
      <w:r>
        <w:rPr>
          <w:lang w:val="es-PE"/>
        </w:rPr>
        <w:t>,</w:t>
      </w:r>
      <w:r w:rsidRPr="0078313E">
        <w:rPr>
          <w:lang w:val="es-PE"/>
        </w:rPr>
        <w:t xml:space="preserve"> más de 18 mil vehículos livianos y cerca de 1</w:t>
      </w:r>
      <w:r w:rsidR="007569E2">
        <w:rPr>
          <w:lang w:val="es-PE"/>
        </w:rPr>
        <w:t>.</w:t>
      </w:r>
      <w:r w:rsidRPr="0078313E">
        <w:rPr>
          <w:lang w:val="es-PE"/>
        </w:rPr>
        <w:t>7</w:t>
      </w:r>
      <w:r w:rsidR="007569E2">
        <w:rPr>
          <w:lang w:val="es-PE"/>
        </w:rPr>
        <w:t>00</w:t>
      </w:r>
      <w:r w:rsidRPr="0078313E">
        <w:rPr>
          <w:lang w:val="es-PE"/>
        </w:rPr>
        <w:t xml:space="preserve"> pesados ya cargaban GNV en la zona.</w:t>
      </w:r>
    </w:p>
    <w:p w14:paraId="1BC540F1" w14:textId="5BAD2C8A" w:rsidR="002B7C86" w:rsidRPr="0078313E" w:rsidRDefault="00D83036">
      <w:pPr>
        <w:keepLines/>
        <w:rPr>
          <w:lang w:val="es-PE"/>
        </w:rPr>
      </w:pPr>
      <w:r w:rsidRPr="0078313E">
        <w:rPr>
          <w:lang w:val="es-PE"/>
        </w:rPr>
        <w:t>A inicios de 2026, la compañía firmó además dos contratos para nuevas estaciones de gas natural licuado (GNL) en Trujillo y Casma, que amplían el Corredor Verde en el eje Lima</w:t>
      </w:r>
      <w:r>
        <w:rPr>
          <w:lang w:val="es-PE"/>
        </w:rPr>
        <w:t>-</w:t>
      </w:r>
      <w:r w:rsidRPr="0078313E">
        <w:rPr>
          <w:lang w:val="es-PE"/>
        </w:rPr>
        <w:t>Chiclayo.</w:t>
      </w:r>
    </w:p>
    <w:p w14:paraId="72E2AF47" w14:textId="68661956" w:rsidR="00DF64CA" w:rsidRPr="0078313E" w:rsidRDefault="00DF64CA">
      <w:pPr>
        <w:rPr>
          <w:lang w:val="es-PE"/>
        </w:rPr>
      </w:pPr>
      <w:r w:rsidRPr="0078313E">
        <w:rPr>
          <w:noProof/>
        </w:rPr>
        <w:lastRenderedPageBreak/>
        <w:drawing>
          <wp:inline distT="0" distB="0" distL="0" distR="0" wp14:anchorId="4E27FC95" wp14:editId="21356934">
            <wp:extent cx="4690334" cy="2580390"/>
            <wp:effectExtent l="0" t="0" r="0" b="0"/>
            <wp:docPr id="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694283" cy="2582562"/>
                    </a:xfrm>
                    <a:prstGeom prst="rect">
                      <a:avLst/>
                    </a:prstGeom>
                    <a:noFill/>
                    <a:ln>
                      <a:noFill/>
                    </a:ln>
                  </pic:spPr>
                </pic:pic>
              </a:graphicData>
            </a:graphic>
          </wp:inline>
        </w:drawing>
      </w:r>
    </w:p>
    <w:p w14:paraId="40A07A28" w14:textId="18006317" w:rsidR="003140DA" w:rsidRPr="0078313E" w:rsidRDefault="00A37447">
      <w:pPr>
        <w:keepLines/>
        <w:spacing w:before="40" w:after="200"/>
        <w:jc w:val="center"/>
        <w:rPr>
          <w:lang w:val="es-PE"/>
        </w:rPr>
      </w:pPr>
      <w:r w:rsidRPr="0078313E">
        <w:rPr>
          <w:i/>
          <w:color w:val="595959"/>
          <w:sz w:val="17"/>
          <w:lang w:val="es-PE"/>
        </w:rPr>
        <w:t>Campaña ‘Conviértete a GNV</w:t>
      </w:r>
      <w:r>
        <w:rPr>
          <w:i/>
          <w:color w:val="595959"/>
          <w:sz w:val="17"/>
          <w:lang w:val="es-PE"/>
        </w:rPr>
        <w:t>’</w:t>
      </w:r>
      <w:r w:rsidRPr="0078313E">
        <w:rPr>
          <w:i/>
          <w:color w:val="595959"/>
          <w:sz w:val="17"/>
          <w:lang w:val="es-PE"/>
        </w:rPr>
        <w:t xml:space="preserve"> de Quavii (Promigas Perú) para promover la movilidad a gas natural entre los conductores del norte del país.</w:t>
      </w:r>
    </w:p>
    <w:p w14:paraId="52D0DBF8" w14:textId="77777777" w:rsidR="003140DA" w:rsidRPr="0078313E" w:rsidRDefault="00A37447">
      <w:pPr>
        <w:keepLines/>
        <w:spacing w:before="40" w:after="200"/>
        <w:jc w:val="right"/>
        <w:rPr>
          <w:lang w:val="es-PE"/>
        </w:rPr>
      </w:pPr>
      <w:r w:rsidRPr="001B444C">
        <w:rPr>
          <w:b/>
          <w:color w:val="404040"/>
          <w:sz w:val="15"/>
          <w:lang w:val="es-PE"/>
        </w:rPr>
        <w:t xml:space="preserve">FUENTE: Quavii / Promigas Perú. </w:t>
      </w:r>
      <w:r w:rsidRPr="001B444C">
        <w:rPr>
          <w:color w:val="404040"/>
          <w:sz w:val="15"/>
          <w:lang w:val="es-PE"/>
        </w:rPr>
        <w:t>&lt;https://proactivo.com.pe/promigas-peru-impulsa-la-movilidad-sostenible-en-el-norte-del-pais-con-la-expansion-de-estaciones-gnv-y-del-corredor-verde-de-gnl/&gt;</w:t>
      </w:r>
    </w:p>
    <w:p w14:paraId="0DF7D2AB" w14:textId="0D4A7493" w:rsidR="002B7C86" w:rsidRPr="0078313E" w:rsidRDefault="00E1505A">
      <w:pPr>
        <w:pStyle w:val="Ttulo4"/>
        <w:spacing w:after="40"/>
        <w:rPr>
          <w:lang w:val="es-PE"/>
        </w:rPr>
      </w:pPr>
      <w:r w:rsidRPr="0078313E">
        <w:rPr>
          <w:i w:val="0"/>
          <w:iCs w:val="0"/>
          <w:color w:val="15607F"/>
          <w:lang w:val="es-PE"/>
        </w:rPr>
        <w:t>4.2.2.3. El gas natural gana terreno en las flotas de carga de la gran minería· Enero 2026</w:t>
      </w:r>
    </w:p>
    <w:p w14:paraId="7759925B" w14:textId="117B6FAC" w:rsidR="002B7C86" w:rsidRPr="0078313E" w:rsidRDefault="00D83036">
      <w:pPr>
        <w:keepLines/>
        <w:rPr>
          <w:lang w:val="es-PE"/>
        </w:rPr>
      </w:pPr>
      <w:r w:rsidRPr="0078313E">
        <w:rPr>
          <w:lang w:val="es-PE"/>
        </w:rPr>
        <w:t xml:space="preserve">En enero de 2026, la empresa Servosa Gas incorporó 14 tractos a gas natural de estándar Euro VI para operaciones vinculadas a la gran minería, con financiamiento estructurado por Cálidda y ahorros estimados de hasta 50 % frente al diésel. El transporte pesado minero </w:t>
      </w:r>
      <w:r>
        <w:rPr>
          <w:lang w:val="es-PE"/>
        </w:rPr>
        <w:t>–</w:t>
      </w:r>
      <w:r w:rsidRPr="0078313E">
        <w:rPr>
          <w:lang w:val="es-PE"/>
        </w:rPr>
        <w:t>el segmento donde el gas natural genera los mayores ahorros por kilómetro</w:t>
      </w:r>
      <w:r>
        <w:rPr>
          <w:lang w:val="es-PE"/>
        </w:rPr>
        <w:t>–</w:t>
      </w:r>
      <w:r w:rsidRPr="0078313E">
        <w:rPr>
          <w:lang w:val="es-PE"/>
        </w:rPr>
        <w:t xml:space="preserve"> empieza a moverse.</w:t>
      </w:r>
    </w:p>
    <w:p w14:paraId="3DBB32F0" w14:textId="6B5B1CA6" w:rsidR="00C75A27" w:rsidRPr="00B76DC9" w:rsidRDefault="00D4093E" w:rsidP="00B76DC9">
      <w:pPr>
        <w:pStyle w:val="Ttulo4"/>
        <w:spacing w:after="40"/>
        <w:rPr>
          <w:i w:val="0"/>
          <w:iCs w:val="0"/>
          <w:color w:val="15607F"/>
          <w:lang w:val="es-PE"/>
        </w:rPr>
      </w:pPr>
      <w:r w:rsidRPr="00B76DC9">
        <w:rPr>
          <w:i w:val="0"/>
          <w:iCs w:val="0"/>
          <w:color w:val="15607F"/>
          <w:lang w:val="es-PE"/>
        </w:rPr>
        <w:t>4.2.2.4. Grupo Transpesa arma la mayor flota logística de camiones a gas natural del país· Setiembre 2025</w:t>
      </w:r>
    </w:p>
    <w:p w14:paraId="519DF0D6" w14:textId="30888B05" w:rsidR="00C75A27" w:rsidRPr="003E0D14" w:rsidRDefault="00D4093E">
      <w:pPr>
        <w:keepLines/>
        <w:rPr>
          <w:lang w:val="es-PE"/>
        </w:rPr>
      </w:pPr>
      <w:r w:rsidRPr="003E0D14">
        <w:rPr>
          <w:lang w:val="es-PE"/>
        </w:rPr>
        <w:t xml:space="preserve">En setiembre de 2025, Grupo Transpesa incorporó 112 camiones a gas natural licuado (GNL) a su flota, con lo que se convirtió en el operador con la mayor flota logística de camiones a gas natural del Perú. La renovación demandó una inversión superior a US$ 10 millones. Según la empresa, los nuevos camiones </w:t>
      </w:r>
      <w:r>
        <w:rPr>
          <w:lang w:val="es-PE"/>
        </w:rPr>
        <w:t>–</w:t>
      </w:r>
      <w:r w:rsidRPr="003E0D14">
        <w:rPr>
          <w:lang w:val="es-PE"/>
        </w:rPr>
        <w:t>de estándar Euro VI y con autonomías de más de 1.000 kilómetros por carga</w:t>
      </w:r>
      <w:r>
        <w:rPr>
          <w:lang w:val="es-PE"/>
        </w:rPr>
        <w:t>–</w:t>
      </w:r>
      <w:r w:rsidRPr="003E0D14">
        <w:rPr>
          <w:lang w:val="es-PE"/>
        </w:rPr>
        <w:t xml:space="preserve"> reducirán en cerca de 90 % las emisiones de CO</w:t>
      </w:r>
      <w:r w:rsidRPr="004F3DB7">
        <w:rPr>
          <w:vertAlign w:val="subscript"/>
          <w:lang w:val="es-PE"/>
        </w:rPr>
        <w:t>2</w:t>
      </w:r>
      <w:r w:rsidRPr="003E0D14">
        <w:rPr>
          <w:lang w:val="es-PE"/>
        </w:rPr>
        <w:t xml:space="preserve"> frente a las unidades a diésel que reemplazan</w:t>
      </w:r>
      <w:r>
        <w:rPr>
          <w:lang w:val="es-PE"/>
        </w:rPr>
        <w:t>, lo que equivale a más de</w:t>
      </w:r>
      <w:r w:rsidRPr="003E0D14">
        <w:rPr>
          <w:lang w:val="es-PE"/>
        </w:rPr>
        <w:t xml:space="preserve"> 30.000 toneladas al año.</w:t>
      </w:r>
    </w:p>
    <w:p w14:paraId="0CA8C365" w14:textId="5DCE1036" w:rsidR="002B7C86" w:rsidRPr="0078313E" w:rsidRDefault="0022300F">
      <w:pPr>
        <w:pStyle w:val="Ttulo3"/>
        <w:spacing w:before="240" w:after="40"/>
        <w:rPr>
          <w:lang w:val="es-PE"/>
        </w:rPr>
      </w:pPr>
      <w:r w:rsidRPr="0078313E">
        <w:rPr>
          <w:lang w:val="es-PE"/>
        </w:rPr>
        <w:lastRenderedPageBreak/>
        <w:t xml:space="preserve">4.2.3. </w:t>
      </w:r>
      <w:r w:rsidR="00D83036" w:rsidRPr="0078313E">
        <w:rPr>
          <w:lang w:val="es-PE"/>
        </w:rPr>
        <w:t>Más regiones y más hogares en la mira: inversión y nuevas reglas</w:t>
      </w:r>
    </w:p>
    <w:p w14:paraId="68ED6029" w14:textId="6695961C" w:rsidR="002B7C86" w:rsidRPr="0078313E" w:rsidRDefault="00A331FF">
      <w:pPr>
        <w:pStyle w:val="Ttulo4"/>
        <w:spacing w:after="40"/>
        <w:rPr>
          <w:lang w:val="es-PE"/>
        </w:rPr>
      </w:pPr>
      <w:r w:rsidRPr="0078313E">
        <w:rPr>
          <w:i w:val="0"/>
          <w:iCs w:val="0"/>
          <w:color w:val="15607F"/>
          <w:lang w:val="es-PE"/>
        </w:rPr>
        <w:t>4.2.3.1. Un nuevo reglamento precisa aspectos que dan mayor fluidez a las inversiones en distribución· Diciembre 2025</w:t>
      </w:r>
    </w:p>
    <w:p w14:paraId="758EE819" w14:textId="795D2933" w:rsidR="002B7C86" w:rsidRPr="0078313E" w:rsidRDefault="00D83036">
      <w:pPr>
        <w:keepLines/>
        <w:rPr>
          <w:lang w:val="es-PE"/>
        </w:rPr>
      </w:pPr>
      <w:r w:rsidRPr="0078313E">
        <w:rPr>
          <w:lang w:val="es-PE"/>
        </w:rPr>
        <w:t>El Decreto Supremo 023-2025-EM</w:t>
      </w:r>
      <w:r>
        <w:rPr>
          <w:lang w:val="es-PE"/>
        </w:rPr>
        <w:t>,</w:t>
      </w:r>
      <w:r w:rsidRPr="0078313E">
        <w:rPr>
          <w:lang w:val="es-PE"/>
        </w:rPr>
        <w:t xml:space="preserve"> </w:t>
      </w:r>
      <w:r>
        <w:rPr>
          <w:lang w:val="es-PE"/>
        </w:rPr>
        <w:t xml:space="preserve">del </w:t>
      </w:r>
      <w:r w:rsidRPr="0078313E">
        <w:rPr>
          <w:lang w:val="es-PE"/>
        </w:rPr>
        <w:t>16 de diciembre de 2025</w:t>
      </w:r>
      <w:r>
        <w:rPr>
          <w:lang w:val="es-PE"/>
        </w:rPr>
        <w:t>,</w:t>
      </w:r>
      <w:r w:rsidRPr="0078313E">
        <w:rPr>
          <w:lang w:val="es-PE"/>
        </w:rPr>
        <w:t xml:space="preserve"> modificó el Reglamento de Distribución para adaptar la regulación a concesiones abastecidas total o parcialmente mediante gas natural comprimido (GNC) o GNL: el </w:t>
      </w:r>
      <w:r>
        <w:rPr>
          <w:lang w:val="es-PE"/>
        </w:rPr>
        <w:t>‘</w:t>
      </w:r>
      <w:r w:rsidRPr="0078313E">
        <w:rPr>
          <w:lang w:val="es-PE"/>
        </w:rPr>
        <w:t>gasoducto virtual</w:t>
      </w:r>
      <w:r>
        <w:rPr>
          <w:lang w:val="es-PE"/>
        </w:rPr>
        <w:t>’</w:t>
      </w:r>
      <w:r w:rsidRPr="0078313E">
        <w:rPr>
          <w:lang w:val="es-PE"/>
        </w:rPr>
        <w:t xml:space="preserve">. Las estaciones de regasificación y descompresión construidas y operadas por el concesionario pueden ahora formar parte del sistema de distribución regulado, y se crea un componente tarifario nuevo </w:t>
      </w:r>
      <w:r>
        <w:rPr>
          <w:lang w:val="es-PE"/>
        </w:rPr>
        <w:t>–</w:t>
      </w:r>
      <w:r w:rsidRPr="0078313E">
        <w:rPr>
          <w:lang w:val="es-PE"/>
        </w:rPr>
        <w:t>el margen de distribución de GNC/GNL</w:t>
      </w:r>
      <w:r>
        <w:rPr>
          <w:lang w:val="es-PE"/>
        </w:rPr>
        <w:t>–</w:t>
      </w:r>
      <w:r w:rsidRPr="0078313E">
        <w:rPr>
          <w:lang w:val="es-PE"/>
        </w:rPr>
        <w:t xml:space="preserve"> que remunera la cadena de abastecimiento por camiones y es pagado por todos los usuarios de la concesión, no solo por los atendidos por esa vía. Con ello, el costo de llevar el gas a las zonas alejadas se socializa dentro de cada concesión, y una misma concesión puede abastecer distintas zonas geográficas de las dos maneras: por ductos y por la vía virtual.</w:t>
      </w:r>
    </w:p>
    <w:p w14:paraId="066AF3CF" w14:textId="2AE0774E" w:rsidR="002B7C86" w:rsidRPr="0078313E" w:rsidRDefault="00D83036">
      <w:pPr>
        <w:keepLines/>
        <w:rPr>
          <w:lang w:val="es-PE"/>
        </w:rPr>
      </w:pPr>
      <w:r w:rsidRPr="0078313E">
        <w:rPr>
          <w:lang w:val="es-PE"/>
        </w:rPr>
        <w:t xml:space="preserve">La norma también moderniza la contratación y protege al usuario. El concesionario debe contratar la cadena mediante ofertas públicas supervisadas por Osinergmin </w:t>
      </w:r>
      <w:r>
        <w:rPr>
          <w:lang w:val="es-PE"/>
        </w:rPr>
        <w:t>–</w:t>
      </w:r>
      <w:r w:rsidRPr="0078313E">
        <w:rPr>
          <w:lang w:val="es-PE"/>
        </w:rPr>
        <w:t>que pueden incluir la compra del GNC o GNL como producto, por eslabones separados o de forma integral</w:t>
      </w:r>
      <w:r>
        <w:rPr>
          <w:lang w:val="es-PE"/>
        </w:rPr>
        <w:t>–</w:t>
      </w:r>
      <w:r w:rsidRPr="0078313E">
        <w:rPr>
          <w:lang w:val="es-PE"/>
        </w:rPr>
        <w:t xml:space="preserve">, y las estaciones financiadas por el FISE se integran al sistema sin volver a remunerarse vía tarifa ni quedar como activos del concesionario al término del contrato. El principio ordenador es la competitividad: cada categoría de usuario debe obtener ahorros frente a su energético sustituto, y el ahorro residencial no puede ser inferior al de procesos regulatorios previos. Es la pieza normativa que da mayor fluidez a las inversiones en distribución fuera de las zonas ya cubiertas por ductos, al resolver a la vez el vacío regulatorio, tarifario y contractual que antes lo </w:t>
      </w:r>
      <w:r w:rsidR="000D6728">
        <w:rPr>
          <w:lang w:val="es-PE"/>
        </w:rPr>
        <w:t>complicaba</w:t>
      </w:r>
      <w:r w:rsidRPr="0078313E">
        <w:rPr>
          <w:lang w:val="es-PE"/>
        </w:rPr>
        <w:t>.</w:t>
      </w:r>
    </w:p>
    <w:p w14:paraId="4ACFE2D3" w14:textId="3A737B7F" w:rsidR="002B7C86" w:rsidRPr="0078313E" w:rsidRDefault="00053D38">
      <w:pPr>
        <w:pStyle w:val="Ttulo4"/>
        <w:spacing w:after="40"/>
        <w:rPr>
          <w:lang w:val="es-PE"/>
        </w:rPr>
      </w:pPr>
      <w:r w:rsidRPr="0078313E">
        <w:rPr>
          <w:i w:val="0"/>
          <w:iCs w:val="0"/>
          <w:color w:val="15607F"/>
          <w:lang w:val="es-PE"/>
        </w:rPr>
        <w:t>4.2.3.2. Un convenio FISE–Quavii llevará gas natural a cerca de 1.000 hogares en Piura· Marzo 2026</w:t>
      </w:r>
    </w:p>
    <w:p w14:paraId="243D90EB" w14:textId="7B5590AC" w:rsidR="002B7C86" w:rsidRPr="0078313E" w:rsidRDefault="00D83036">
      <w:pPr>
        <w:keepLines/>
        <w:rPr>
          <w:lang w:val="es-PE"/>
        </w:rPr>
      </w:pPr>
      <w:r w:rsidRPr="0078313E">
        <w:rPr>
          <w:lang w:val="es-PE"/>
        </w:rPr>
        <w:t xml:space="preserve">El FISE y Quavii suscribieron un convenio para dotar de gas natural a cerca de 1.000 hogares en el distrito de Vichayal, provincia de Paita (Piura), en las zonas de La Bocana, San Luis y Miramar. El proyecto contempla una estación de distribución y unos 17 km de redes de polietileno, con la conexión de los primeros usuarios prevista </w:t>
      </w:r>
      <w:r>
        <w:rPr>
          <w:lang w:val="es-PE"/>
        </w:rPr>
        <w:t xml:space="preserve">para </w:t>
      </w:r>
      <w:r w:rsidRPr="0078313E">
        <w:rPr>
          <w:lang w:val="es-PE"/>
        </w:rPr>
        <w:t>fines de 2026. Aunque de escala local, ilustra el mecanismo de cofinanciamiento (FISE + distribuidora) que está permitiendo llevar el gas natural a poblaciones que de otro modo quedarían fuera del alcance de las redes.</w:t>
      </w:r>
    </w:p>
    <w:p w14:paraId="28EE18AE" w14:textId="1C6C59BC" w:rsidR="00556D0A" w:rsidRPr="0078313E" w:rsidRDefault="00053D38">
      <w:pPr>
        <w:rPr>
          <w:lang w:val="es-PE"/>
        </w:rPr>
      </w:pPr>
      <w:r w:rsidRPr="0078313E">
        <w:rPr>
          <w:noProof/>
        </w:rPr>
        <w:lastRenderedPageBreak/>
        <w:drawing>
          <wp:inline distT="0" distB="0" distL="0" distR="0" wp14:anchorId="66EB0D79" wp14:editId="004D2C44">
            <wp:extent cx="4152451" cy="2752911"/>
            <wp:effectExtent l="0" t="0" r="635" b="9525"/>
            <wp:docPr id="8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154991" cy="2754595"/>
                    </a:xfrm>
                    <a:prstGeom prst="rect">
                      <a:avLst/>
                    </a:prstGeom>
                    <a:noFill/>
                    <a:ln>
                      <a:noFill/>
                    </a:ln>
                  </pic:spPr>
                </pic:pic>
              </a:graphicData>
            </a:graphic>
          </wp:inline>
        </w:drawing>
      </w:r>
    </w:p>
    <w:p w14:paraId="036CA1D5" w14:textId="2B784BC0" w:rsidR="003140DA" w:rsidRPr="0078313E" w:rsidRDefault="00A37447">
      <w:pPr>
        <w:keepLines/>
        <w:spacing w:before="40" w:after="200"/>
        <w:jc w:val="center"/>
        <w:rPr>
          <w:i/>
          <w:color w:val="595959"/>
          <w:sz w:val="17"/>
          <w:lang w:val="es-PE"/>
        </w:rPr>
      </w:pPr>
      <w:r w:rsidRPr="0078313E">
        <w:rPr>
          <w:i/>
          <w:color w:val="595959"/>
          <w:sz w:val="17"/>
          <w:lang w:val="es-PE"/>
        </w:rPr>
        <w:t xml:space="preserve">Presentación del convenio FISE–Quavii en la </w:t>
      </w:r>
      <w:r>
        <w:rPr>
          <w:i/>
          <w:color w:val="595959"/>
          <w:sz w:val="17"/>
          <w:lang w:val="es-PE"/>
        </w:rPr>
        <w:t>m</w:t>
      </w:r>
      <w:r w:rsidRPr="0078313E">
        <w:rPr>
          <w:i/>
          <w:color w:val="595959"/>
          <w:sz w:val="17"/>
          <w:lang w:val="es-PE"/>
        </w:rPr>
        <w:t xml:space="preserve">unicipalidad </w:t>
      </w:r>
      <w:r>
        <w:rPr>
          <w:i/>
          <w:color w:val="595959"/>
          <w:sz w:val="17"/>
          <w:lang w:val="es-PE"/>
        </w:rPr>
        <w:t>d</w:t>
      </w:r>
      <w:r w:rsidRPr="0078313E">
        <w:rPr>
          <w:i/>
          <w:color w:val="595959"/>
          <w:sz w:val="17"/>
          <w:lang w:val="es-PE"/>
        </w:rPr>
        <w:t>istrital de Vichayal (Paita, Piura), que llevará gas natural a cerca de 1.000 hogares de la zona.</w:t>
      </w:r>
    </w:p>
    <w:p w14:paraId="440AFBEA" w14:textId="77777777" w:rsidR="003140DA" w:rsidRPr="0078313E" w:rsidRDefault="00A37447">
      <w:pPr>
        <w:keepLines/>
        <w:spacing w:before="40" w:after="200"/>
        <w:jc w:val="right"/>
        <w:rPr>
          <w:lang w:val="es-PE"/>
        </w:rPr>
      </w:pPr>
      <w:r w:rsidRPr="001B444C">
        <w:rPr>
          <w:b/>
          <w:color w:val="404040"/>
          <w:sz w:val="15"/>
          <w:lang w:val="es-PE"/>
        </w:rPr>
        <w:t xml:space="preserve">FUENTE: Energiminas. </w:t>
      </w:r>
      <w:r w:rsidRPr="001B444C">
        <w:rPr>
          <w:color w:val="404040"/>
          <w:sz w:val="15"/>
          <w:lang w:val="es-PE"/>
        </w:rPr>
        <w:t>&lt;https://energiminas.com/2026/03/30/quavii-firmo-un-convenio-con-el-fise-para-suministrar-gas-natural-al-distrito-de-vichayal-en-piura/&gt;</w:t>
      </w:r>
    </w:p>
    <w:p w14:paraId="24617216" w14:textId="38DC1B6F" w:rsidR="00DB2AA4" w:rsidRPr="0078313E" w:rsidRDefault="00A331FF" w:rsidP="003E08B6">
      <w:pPr>
        <w:pStyle w:val="Ttulo3"/>
        <w:spacing w:before="240" w:after="40"/>
        <w:rPr>
          <w:lang w:val="es-PE"/>
        </w:rPr>
      </w:pPr>
      <w:r w:rsidRPr="0078313E">
        <w:rPr>
          <w:lang w:val="es-PE"/>
        </w:rPr>
        <w:t xml:space="preserve">4.2.4. </w:t>
      </w:r>
      <w:r w:rsidR="00D83036" w:rsidRPr="0078313E">
        <w:rPr>
          <w:lang w:val="es-PE"/>
        </w:rPr>
        <w:t>Una oferta e infraestructura que sostienen la masificación</w:t>
      </w:r>
    </w:p>
    <w:p w14:paraId="1E3CFF7E" w14:textId="4AF6593B" w:rsidR="002B7C86" w:rsidRPr="0078313E" w:rsidRDefault="00E1505A">
      <w:pPr>
        <w:pStyle w:val="Ttulo4"/>
        <w:spacing w:after="40"/>
        <w:rPr>
          <w:lang w:val="es-PE"/>
        </w:rPr>
      </w:pPr>
      <w:r w:rsidRPr="0078313E">
        <w:rPr>
          <w:i w:val="0"/>
          <w:iCs w:val="0"/>
          <w:color w:val="15607F"/>
          <w:lang w:val="es-PE"/>
        </w:rPr>
        <w:t>4.2.4.1. Promigas presenta en Paita su primera central térmica a gas natural· Mayo 2026</w:t>
      </w:r>
    </w:p>
    <w:p w14:paraId="252253F9" w14:textId="67C9FEC7" w:rsidR="002B7C86" w:rsidRPr="0078313E" w:rsidRDefault="00D83036">
      <w:pPr>
        <w:keepLines/>
        <w:rPr>
          <w:lang w:val="es-PE"/>
        </w:rPr>
      </w:pPr>
      <w:r w:rsidRPr="0078313E">
        <w:rPr>
          <w:lang w:val="es-PE"/>
        </w:rPr>
        <w:t>En mayo de 2026, Promigas Perú presentó su primera central de generación eléctrica a gas natural, en la Zona Económica Especial de Paita (Piura). La planta, de 19,6 MW, inyectará a la red de Electronoroeste una energía equivalente al consumo de unos 155 mil hogares, en beneficio de más de 600 mil personas, una vez entre en operación. Además de marcar el debut de la compañía en la generación eléctrica, la central creará una demanda ancla para el gas natural del norte: el tipo de consumo de gran escala que ayuda a sostener la expansión de las redes.</w:t>
      </w:r>
    </w:p>
    <w:p w14:paraId="746F2515" w14:textId="77777777" w:rsidR="007A7FEE" w:rsidRDefault="00D83036">
      <w:pPr>
        <w:keepNext/>
        <w:jc w:val="center"/>
        <w:rPr>
          <w:lang w:val="es-PE"/>
        </w:rPr>
      </w:pPr>
      <w:r>
        <w:rPr>
          <w:noProof/>
        </w:rPr>
        <w:lastRenderedPageBreak/>
        <w:drawing>
          <wp:inline distT="0" distB="0" distL="0" distR="0" wp14:anchorId="022D4323" wp14:editId="1D7555C8">
            <wp:extent cx="4680000" cy="2808000"/>
            <wp:effectExtent l="0" t="0" r="0" b="0"/>
            <wp:docPr id="82" name="Picture 1801677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hito_paita.jpg"/>
                    <pic:cNvPicPr/>
                  </pic:nvPicPr>
                  <pic:blipFill>
                    <a:blip r:embed="rId99"/>
                    <a:stretch>
                      <a:fillRect/>
                    </a:stretch>
                  </pic:blipFill>
                  <pic:spPr>
                    <a:xfrm>
                      <a:off x="0" y="0"/>
                      <a:ext cx="4680000" cy="2808000"/>
                    </a:xfrm>
                    <a:prstGeom prst="rect">
                      <a:avLst/>
                    </a:prstGeom>
                  </pic:spPr>
                </pic:pic>
              </a:graphicData>
            </a:graphic>
          </wp:inline>
        </w:drawing>
      </w:r>
    </w:p>
    <w:p w14:paraId="66EE981A" w14:textId="4B400A09" w:rsidR="003140DA" w:rsidRPr="0078313E" w:rsidRDefault="00A37447">
      <w:pPr>
        <w:keepLines/>
        <w:spacing w:before="40" w:after="200"/>
        <w:jc w:val="center"/>
        <w:rPr>
          <w:lang w:val="es-PE"/>
        </w:rPr>
      </w:pPr>
      <w:r w:rsidRPr="0078313E">
        <w:rPr>
          <w:i/>
          <w:color w:val="595959"/>
          <w:sz w:val="17"/>
          <w:lang w:val="es-PE"/>
        </w:rPr>
        <w:t>Sala de máquinas de la nueva central térmica de Promigas Perú en Paita durante su presentación. Los motores a gas natural inyectarán energía a la red de Electronoroeste.</w:t>
      </w:r>
    </w:p>
    <w:p w14:paraId="6A4E18DA" w14:textId="77777777" w:rsidR="003140DA" w:rsidRPr="0078313E" w:rsidRDefault="00A37447">
      <w:pPr>
        <w:keepLines/>
        <w:spacing w:before="40" w:after="200"/>
        <w:jc w:val="right"/>
        <w:rPr>
          <w:lang w:val="es-PE"/>
        </w:rPr>
      </w:pPr>
      <w:r w:rsidRPr="001B444C">
        <w:rPr>
          <w:b/>
          <w:color w:val="404040"/>
          <w:sz w:val="15"/>
          <w:lang w:val="es-PE"/>
        </w:rPr>
        <w:t xml:space="preserve">FUENTE: Promigas Perú / El Gas Noticias. </w:t>
      </w:r>
      <w:r w:rsidRPr="001B444C">
        <w:rPr>
          <w:color w:val="404040"/>
          <w:sz w:val="15"/>
          <w:lang w:val="es-PE"/>
        </w:rPr>
        <w:t>&lt;https://elgasnoticias.com/mas-de-600-mil-personas-se-beneficiaran-con-la-nueva-central-termica-de-promigas/&gt;</w:t>
      </w:r>
    </w:p>
    <w:p w14:paraId="30FC5113" w14:textId="5BE8B6B0" w:rsidR="003140DA" w:rsidRPr="0078313E" w:rsidRDefault="00A37447">
      <w:pPr>
        <w:keepNext/>
        <w:keepLines/>
        <w:rPr>
          <w:lang w:val="es-PE"/>
        </w:rPr>
      </w:pPr>
      <w:r w:rsidRPr="0078313E">
        <w:rPr>
          <w:i/>
          <w:lang w:val="es-PE"/>
        </w:rPr>
        <w:t>Este proyecto refleja el avance de Promigas en su evolución hacia una compañía multienergética</w:t>
      </w:r>
      <w:r>
        <w:rPr>
          <w:i/>
          <w:lang w:val="es-PE"/>
        </w:rPr>
        <w:t>.</w:t>
      </w:r>
    </w:p>
    <w:p w14:paraId="5ABF02AB" w14:textId="77777777" w:rsidR="003140DA" w:rsidRPr="0078313E" w:rsidRDefault="00A37447">
      <w:pPr>
        <w:pStyle w:val="Prrafodelista"/>
        <w:keepLines/>
        <w:rPr>
          <w:lang w:val="es-PE"/>
        </w:rPr>
      </w:pPr>
      <w:r w:rsidRPr="0078313E">
        <w:rPr>
          <w:i/>
          <w:lang w:val="es-PE"/>
        </w:rPr>
        <w:t>Juan Manuel Rojas – Presidente de Promigas</w:t>
      </w:r>
    </w:p>
    <w:p w14:paraId="632E3347" w14:textId="69E975A2" w:rsidR="002B7C86" w:rsidRPr="0078313E" w:rsidRDefault="003E08B6">
      <w:pPr>
        <w:pStyle w:val="Ttulo4"/>
        <w:spacing w:after="40"/>
        <w:rPr>
          <w:lang w:val="es-PE"/>
        </w:rPr>
      </w:pPr>
      <w:r w:rsidRPr="0078313E">
        <w:rPr>
          <w:i w:val="0"/>
          <w:iCs w:val="0"/>
          <w:color w:val="15607F"/>
          <w:lang w:val="es-PE"/>
        </w:rPr>
        <w:t>4.2.4.2. El Consorcio Camisea invierte para sostener la producción de gas</w:t>
      </w:r>
      <w:r w:rsidR="00D83036" w:rsidRPr="0078313E">
        <w:rPr>
          <w:color w:val="595959"/>
          <w:sz w:val="18"/>
          <w:lang w:val="es-PE"/>
        </w:rPr>
        <w:t>· 2026</w:t>
      </w:r>
    </w:p>
    <w:p w14:paraId="7E72291E" w14:textId="4D7002AA" w:rsidR="002B7C86" w:rsidRPr="0078313E" w:rsidRDefault="00D83036">
      <w:pPr>
        <w:keepLines/>
        <w:rPr>
          <w:lang w:val="es-PE"/>
        </w:rPr>
      </w:pPr>
      <w:r w:rsidRPr="0078313E">
        <w:rPr>
          <w:lang w:val="es-PE"/>
        </w:rPr>
        <w:t xml:space="preserve">El Consorcio Camisea, liderado por Pluspetrol, contempla una inversión cercana a US$ 300 millones en Cusco e Ica durante 2026, orientada </w:t>
      </w:r>
      <w:r>
        <w:rPr>
          <w:lang w:val="es-PE"/>
        </w:rPr>
        <w:t xml:space="preserve">hacia el </w:t>
      </w:r>
      <w:r w:rsidRPr="0078313E">
        <w:rPr>
          <w:lang w:val="es-PE"/>
        </w:rPr>
        <w:t xml:space="preserve">mantenimiento mayor y </w:t>
      </w:r>
      <w:r>
        <w:rPr>
          <w:lang w:val="es-PE"/>
        </w:rPr>
        <w:t xml:space="preserve">hacia </w:t>
      </w:r>
      <w:r w:rsidRPr="0078313E">
        <w:rPr>
          <w:lang w:val="es-PE"/>
        </w:rPr>
        <w:t>la optimización de las plantas de Malvinas (Cusco) y Pisco (Ica). A ello se suma el proyecto de compresión del campo Mipaya, en el Lote 56 (del orden de US$ 250 millones), con puesta en marcha prevista hacia mediados de 2026, y nuevas perforaciones en Saniri Norte. Con reservas probadas de alrededor de 6,2 Tpc en los lotes 88 y 56, según Pluspetrol, y una planta en Malvinas con capacidad de 1.680 millones de pies cúbicos diarios, estas inversiones apuntalan la producción del yacimiento que abastece la mayor parte del gas natural del país.</w:t>
      </w:r>
    </w:p>
    <w:p w14:paraId="6CD63FDF" w14:textId="57DFC9BD" w:rsidR="002B7C86" w:rsidRPr="0078313E" w:rsidRDefault="00E1505A">
      <w:pPr>
        <w:pStyle w:val="Ttulo4"/>
        <w:spacing w:after="40"/>
        <w:rPr>
          <w:lang w:val="es-PE"/>
        </w:rPr>
      </w:pPr>
      <w:r w:rsidRPr="0078313E">
        <w:rPr>
          <w:i w:val="0"/>
          <w:iCs w:val="0"/>
          <w:color w:val="15607F"/>
          <w:lang w:val="es-PE"/>
        </w:rPr>
        <w:t>4.2.4.3. Cóndor Energy acelera el desarrollo del gas de Tumbes</w:t>
      </w:r>
      <w:r w:rsidR="00D83036" w:rsidRPr="0078313E">
        <w:rPr>
          <w:color w:val="595959"/>
          <w:sz w:val="18"/>
          <w:lang w:val="es-PE"/>
        </w:rPr>
        <w:t>· Segundo trimestre 2026</w:t>
      </w:r>
    </w:p>
    <w:p w14:paraId="0DC5A320" w14:textId="3F4B4C79" w:rsidR="005B68F6" w:rsidRPr="0078313E" w:rsidRDefault="00D83036">
      <w:pPr>
        <w:keepLines/>
        <w:rPr>
          <w:lang w:val="es-PE"/>
        </w:rPr>
      </w:pPr>
      <w:r w:rsidRPr="0078313E">
        <w:rPr>
          <w:lang w:val="es-PE"/>
        </w:rPr>
        <w:t>La australiana Cóndor Energy consolidó 100 % del bloque TEA 86, frente a las costas de Tumbes, y solicitó a Perupetro su conversión en contrato de licencia de exploración y explotación, tras completar de manera anticipada sus compromisos técnicos. El activo principal es el campo Piedra Redonda, con recursos contingentes del orden de 1 Tpc de gas natural. De concretarse la licencia y la perforación exploratoria, el proyecto abriría una nueva fuente de gas en el extremo norte del país.</w:t>
      </w:r>
    </w:p>
    <w:p w14:paraId="1C893884" w14:textId="2403ABBB" w:rsidR="002B7C86" w:rsidRPr="0078313E" w:rsidRDefault="002B7C86">
      <w:pPr>
        <w:rPr>
          <w:lang w:val="es-PE"/>
        </w:rPr>
      </w:pPr>
    </w:p>
    <w:p w14:paraId="26DEE74C" w14:textId="46C19E9D" w:rsidR="00A37447" w:rsidRPr="00A21BDD" w:rsidRDefault="00A37447">
      <w:pPr>
        <w:pStyle w:val="Ttulo1"/>
        <w:pageBreakBefore/>
        <w:rPr>
          <w:lang w:val="es-PE"/>
        </w:rPr>
      </w:pPr>
      <w:bookmarkStart w:id="38" w:name="_Idx_5"/>
      <w:r w:rsidRPr="00A21BDD">
        <w:rPr>
          <w:lang w:val="es-PE"/>
        </w:rPr>
        <w:lastRenderedPageBreak/>
        <w:t xml:space="preserve">5. El rol del gas natural frente al </w:t>
      </w:r>
      <w:r>
        <w:rPr>
          <w:lang w:val="es-PE"/>
        </w:rPr>
        <w:t>f</w:t>
      </w:r>
      <w:r w:rsidRPr="00A21BDD">
        <w:rPr>
          <w:lang w:val="es-PE"/>
        </w:rPr>
        <w:t xml:space="preserve">enómeno </w:t>
      </w:r>
      <w:r>
        <w:rPr>
          <w:lang w:val="es-PE"/>
        </w:rPr>
        <w:t xml:space="preserve">de </w:t>
      </w:r>
      <w:r w:rsidRPr="00A21BDD">
        <w:rPr>
          <w:lang w:val="es-PE"/>
        </w:rPr>
        <w:t>El Niño (FEN)</w:t>
      </w:r>
      <w:bookmarkEnd w:id="38"/>
    </w:p>
    <w:p w14:paraId="505C089B" w14:textId="0D6CE93A" w:rsidR="00A37447" w:rsidRPr="00A21BDD" w:rsidRDefault="00A37447">
      <w:pPr>
        <w:keepLines/>
        <w:rPr>
          <w:lang w:val="es-PE"/>
        </w:rPr>
      </w:pPr>
      <w:r w:rsidRPr="00A21BDD">
        <w:rPr>
          <w:highlight w:val="yellow"/>
          <w:lang w:val="es-PE"/>
        </w:rPr>
        <w:t xml:space="preserve">El </w:t>
      </w:r>
      <w:r>
        <w:rPr>
          <w:highlight w:val="yellow"/>
          <w:lang w:val="es-PE"/>
        </w:rPr>
        <w:t>f</w:t>
      </w:r>
      <w:r w:rsidRPr="00A21BDD">
        <w:rPr>
          <w:highlight w:val="yellow"/>
          <w:lang w:val="es-PE"/>
        </w:rPr>
        <w:t xml:space="preserve">enómeno </w:t>
      </w:r>
      <w:r>
        <w:rPr>
          <w:highlight w:val="yellow"/>
          <w:lang w:val="es-PE"/>
        </w:rPr>
        <w:t xml:space="preserve">de </w:t>
      </w:r>
      <w:r w:rsidRPr="00A21BDD">
        <w:rPr>
          <w:highlight w:val="yellow"/>
          <w:lang w:val="es-PE"/>
        </w:rPr>
        <w:t>El Niño (FEN) es un calentamiento anormal del océano Pacífico que altera el clima. Puede presentarse en dos variantes</w:t>
      </w:r>
      <w:r>
        <w:rPr>
          <w:highlight w:val="yellow"/>
          <w:lang w:val="es-PE"/>
        </w:rPr>
        <w:t>,</w:t>
      </w:r>
      <w:r w:rsidRPr="00A21BDD">
        <w:rPr>
          <w:highlight w:val="yellow"/>
          <w:lang w:val="es-PE"/>
        </w:rPr>
        <w:t xml:space="preserve"> que</w:t>
      </w:r>
      <w:r w:rsidR="00706569">
        <w:rPr>
          <w:highlight w:val="yellow"/>
          <w:lang w:val="es-PE"/>
        </w:rPr>
        <w:t xml:space="preserve"> se</w:t>
      </w:r>
      <w:r w:rsidRPr="00A21BDD">
        <w:rPr>
          <w:highlight w:val="yellow"/>
          <w:lang w:val="es-PE"/>
        </w:rPr>
        <w:t xml:space="preserve"> </w:t>
      </w:r>
      <w:r w:rsidR="00706569">
        <w:rPr>
          <w:highlight w:val="yellow"/>
          <w:lang w:val="es-PE"/>
        </w:rPr>
        <w:t>deben</w:t>
      </w:r>
      <w:r w:rsidRPr="00A21BDD">
        <w:rPr>
          <w:highlight w:val="yellow"/>
          <w:lang w:val="es-PE"/>
        </w:rPr>
        <w:t xml:space="preserve"> distinguir. El Niño costero calienta el mar justo frente al Perú y Ecuador; su efecto es local y directo: lluvias intensas e inundaciones en la costa norte</w:t>
      </w:r>
      <w:r>
        <w:rPr>
          <w:highlight w:val="yellow"/>
          <w:lang w:val="es-PE"/>
        </w:rPr>
        <w:t xml:space="preserve">, </w:t>
      </w:r>
      <w:r w:rsidRPr="00A21BDD">
        <w:rPr>
          <w:highlight w:val="yellow"/>
          <w:lang w:val="es-PE"/>
        </w:rPr>
        <w:t>alteración de la pesca</w:t>
      </w:r>
      <w:r>
        <w:rPr>
          <w:highlight w:val="yellow"/>
          <w:lang w:val="es-PE"/>
        </w:rPr>
        <w:t xml:space="preserve"> –especialmente de la anchoveta– y reducción de la productividad del agro por temperaturas ambientales más altas de lo regular</w:t>
      </w:r>
      <w:r w:rsidRPr="00A21BDD">
        <w:rPr>
          <w:highlight w:val="yellow"/>
          <w:lang w:val="es-PE"/>
        </w:rPr>
        <w:t xml:space="preserve">. El Niño global, en cambio, se origina en el Pacífico central y modifica el clima de todo el planeta; en el Perú suele sentirse como sequía en la sierra, donde nacen las cuencas que alimentan las centrales hidroeléctricas. Ambos pueden ocurrir por separado </w:t>
      </w:r>
      <w:r>
        <w:rPr>
          <w:highlight w:val="yellow"/>
          <w:lang w:val="es-PE"/>
        </w:rPr>
        <w:t>–</w:t>
      </w:r>
      <w:r w:rsidRPr="00A21BDD">
        <w:rPr>
          <w:highlight w:val="yellow"/>
          <w:lang w:val="es-PE"/>
        </w:rPr>
        <w:t>el de 2017 fue solo costero</w:t>
      </w:r>
      <w:r>
        <w:rPr>
          <w:highlight w:val="yellow"/>
          <w:lang w:val="es-PE"/>
        </w:rPr>
        <w:t>–</w:t>
      </w:r>
      <w:r w:rsidRPr="00A21BDD">
        <w:rPr>
          <w:highlight w:val="yellow"/>
          <w:lang w:val="es-PE"/>
        </w:rPr>
        <w:t xml:space="preserve"> o coincidir, como en 1982-</w:t>
      </w:r>
      <w:r>
        <w:rPr>
          <w:highlight w:val="yellow"/>
          <w:lang w:val="es-PE"/>
        </w:rPr>
        <w:t>19</w:t>
      </w:r>
      <w:r w:rsidRPr="00A21BDD">
        <w:rPr>
          <w:highlight w:val="yellow"/>
          <w:lang w:val="es-PE"/>
        </w:rPr>
        <w:t>83</w:t>
      </w:r>
      <w:r>
        <w:rPr>
          <w:highlight w:val="yellow"/>
          <w:lang w:val="es-PE"/>
        </w:rPr>
        <w:t>,</w:t>
      </w:r>
      <w:r w:rsidRPr="00A21BDD">
        <w:rPr>
          <w:highlight w:val="yellow"/>
          <w:lang w:val="es-PE"/>
        </w:rPr>
        <w:t xml:space="preserve"> 1997-</w:t>
      </w:r>
      <w:r>
        <w:rPr>
          <w:highlight w:val="yellow"/>
          <w:lang w:val="es-PE"/>
        </w:rPr>
        <w:t>19</w:t>
      </w:r>
      <w:r w:rsidRPr="00A21BDD">
        <w:rPr>
          <w:highlight w:val="yellow"/>
          <w:lang w:val="es-PE"/>
        </w:rPr>
        <w:t>98</w:t>
      </w:r>
      <w:r>
        <w:rPr>
          <w:highlight w:val="yellow"/>
          <w:lang w:val="es-PE"/>
        </w:rPr>
        <w:t xml:space="preserve"> o 2023-2024</w:t>
      </w:r>
      <w:r w:rsidRPr="00A21BDD">
        <w:rPr>
          <w:highlight w:val="yellow"/>
          <w:lang w:val="es-PE"/>
        </w:rPr>
        <w:t>. Cuando coinciden, los impactos se amplifican.</w:t>
      </w:r>
    </w:p>
    <w:p w14:paraId="75C2F7E9" w14:textId="68D10B52" w:rsidR="00A37447" w:rsidRPr="00A21BDD" w:rsidRDefault="00A37447">
      <w:pPr>
        <w:keepLines/>
        <w:rPr>
          <w:lang w:val="es-PE"/>
        </w:rPr>
      </w:pPr>
      <w:r w:rsidRPr="00A21BDD">
        <w:rPr>
          <w:highlight w:val="yellow"/>
          <w:lang w:val="es-PE"/>
        </w:rPr>
        <w:t xml:space="preserve">El FEN es un viejo conocido del país: los registros históricos cuentan alrededor de 120 episodios en los últimos cinco siglos. Los eventos leves se repiten cada pocos años; los extraordinarios, </w:t>
      </w:r>
      <w:r w:rsidR="008559EE">
        <w:rPr>
          <w:highlight w:val="yellow"/>
          <w:lang w:val="es-PE"/>
        </w:rPr>
        <w:t xml:space="preserve">entre una y tres </w:t>
      </w:r>
      <w:r w:rsidRPr="00A21BDD">
        <w:rPr>
          <w:highlight w:val="yellow"/>
          <w:lang w:val="es-PE"/>
        </w:rPr>
        <w:t>veces por siglo: 1891, 1925, 1982-</w:t>
      </w:r>
      <w:r>
        <w:rPr>
          <w:highlight w:val="yellow"/>
          <w:lang w:val="es-PE"/>
        </w:rPr>
        <w:t>19</w:t>
      </w:r>
      <w:r w:rsidRPr="00A21BDD">
        <w:rPr>
          <w:highlight w:val="yellow"/>
          <w:lang w:val="es-PE"/>
        </w:rPr>
        <w:t>83 y 1997-</w:t>
      </w:r>
      <w:r>
        <w:rPr>
          <w:highlight w:val="yellow"/>
          <w:lang w:val="es-PE"/>
        </w:rPr>
        <w:t>19</w:t>
      </w:r>
      <w:r w:rsidRPr="00A21BDD">
        <w:rPr>
          <w:highlight w:val="yellow"/>
          <w:lang w:val="es-PE"/>
        </w:rPr>
        <w:t>98 forman esa lista. Sus huellas económicas son profundas. El episodio de 1982-1983 dejó daños por unos US$ 3.300 millones, equivalentes a 11,6 % del PBI de entonces, y el de 1997-</w:t>
      </w:r>
      <w:r>
        <w:rPr>
          <w:highlight w:val="yellow"/>
          <w:lang w:val="es-PE"/>
        </w:rPr>
        <w:t>19</w:t>
      </w:r>
      <w:r w:rsidRPr="00A21BDD">
        <w:rPr>
          <w:highlight w:val="yellow"/>
          <w:lang w:val="es-PE"/>
        </w:rPr>
        <w:t>98 costó US$ 3.500 millones (6,2 % del PBI). El Niño costero de 2017 provocó pérdidas por más de US$ 3.100 millones</w:t>
      </w:r>
      <w:r>
        <w:rPr>
          <w:highlight w:val="yellow"/>
          <w:lang w:val="es-PE"/>
        </w:rPr>
        <w:t>,</w:t>
      </w:r>
      <w:r w:rsidRPr="00A21BDD">
        <w:rPr>
          <w:highlight w:val="yellow"/>
          <w:lang w:val="es-PE"/>
        </w:rPr>
        <w:t xml:space="preserve"> y obligó a un plan nacional de reconstrucción de más de S/ 25 mil millones. Y en 2023, los choques climáticos </w:t>
      </w:r>
      <w:r>
        <w:rPr>
          <w:highlight w:val="yellow"/>
          <w:lang w:val="es-PE"/>
        </w:rPr>
        <w:t>–</w:t>
      </w:r>
      <w:r w:rsidRPr="00A21BDD">
        <w:rPr>
          <w:highlight w:val="yellow"/>
          <w:lang w:val="es-PE"/>
        </w:rPr>
        <w:t>con El Niño costero como protagonista</w:t>
      </w:r>
      <w:r>
        <w:rPr>
          <w:highlight w:val="yellow"/>
          <w:lang w:val="es-PE"/>
        </w:rPr>
        <w:t>–</w:t>
      </w:r>
      <w:r w:rsidRPr="00A21BDD">
        <w:rPr>
          <w:highlight w:val="yellow"/>
          <w:lang w:val="es-PE"/>
        </w:rPr>
        <w:t xml:space="preserve"> restaron cerca de 1,5 puntos al PBI y contribuyeron a la recesión de ese año.</w:t>
      </w:r>
    </w:p>
    <w:p w14:paraId="53ADA6D2" w14:textId="7648271F" w:rsidR="00A37447" w:rsidRPr="00A21BDD" w:rsidRDefault="00A37447">
      <w:pPr>
        <w:keepLines/>
        <w:rPr>
          <w:lang w:val="es-PE"/>
        </w:rPr>
      </w:pPr>
      <w:r w:rsidRPr="00A21BDD">
        <w:rPr>
          <w:highlight w:val="yellow"/>
          <w:lang w:val="es-PE"/>
        </w:rPr>
        <w:t>Hoy el país está otra vez ante ese riesgo, y en su versión más exigente. El mar frente a la costa se ha calentado muy por encima de lo habitual y la anomalía ya supera la que mostraba el episodio de 1997-1998 a esta altura del año. Los organismos técnicos anticipan, además, la coincidencia de ambas variantes –un Niño costero y un Niño global– hacia el verano 2026-2027, muy probablemente de magnitud fuerte o extraordinaria. Para el evento costero, la magnitud extraordinaria es hoy el escenario más probable. Los primeros efectos ya se sienten en la pesca y en el agro. Y la historia enseña dónde golpeará si escala: en el norte, con lluvias e inundaciones; y en la sierra centro y sur, con la sequía que desocupa los embalses de los que depende la generación eléctrica y afecta los principales cultivos de consumo local.</w:t>
      </w:r>
    </w:p>
    <w:p w14:paraId="0DFC64E0" w14:textId="46D31B49" w:rsidR="00A37447" w:rsidRPr="00A21BDD" w:rsidRDefault="00A37447">
      <w:pPr>
        <w:keepLines/>
        <w:rPr>
          <w:lang w:val="es-PE"/>
        </w:rPr>
      </w:pPr>
      <w:r>
        <w:rPr>
          <w:lang w:val="es-PE"/>
        </w:rPr>
        <w:t>Esta sección se ocupa de esa segunda cara: el encuentro del FEN con el Sistema Eléctrico y el rol esencial que cumple el gas natural en la matriz de generación durante estos episodios. El Perú cuenta con las centrales termoeléctricas a gas natural necesarias para enfrentar un FEN, y con el combustible de sobra: cada año se reinyecta a los pozos una parte de la producción de gas por falta de demanda. No obstante, centrales que suman cerca de un tercio de la capacidad apta para gas no están conectadas al Sistema de Transporte de gas por ductos. Cuando el agua escasea y les toca entrar, deben operar con diésel, varias veces más caro y contaminante, y ese sobrecosto se traslada a la factura de hogares y empresas. Asimismo,</w:t>
      </w:r>
      <w:r w:rsidRPr="00A21BDD">
        <w:rPr>
          <w:lang w:val="es-PE"/>
        </w:rPr>
        <w:t xml:space="preserve"> </w:t>
      </w:r>
      <w:r>
        <w:rPr>
          <w:lang w:val="es-PE"/>
        </w:rPr>
        <w:t>gracias a las centrales termoeléctricas, el Perú no corre riesgo de desabastecimiento eléctrico: un escenario mucho más costoso. Sobre esa base, la sección desarrolla cinco subtemas: el estado del evento en curso; la forma como El Niño se transmite del clima a las tarifas eléctricas; las lecciones de las crisis pasadas, dentro y fuera del país; la experiencia más reciente, el episodio 2023-2024, y qué se puede trabajar para eventos futuros que permitan</w:t>
      </w:r>
      <w:r w:rsidRPr="00A21BDD">
        <w:rPr>
          <w:lang w:val="es-PE"/>
        </w:rPr>
        <w:t xml:space="preserve"> mitigar los incrementos de precios</w:t>
      </w:r>
      <w:r>
        <w:rPr>
          <w:lang w:val="es-PE"/>
        </w:rPr>
        <w:t>.</w:t>
      </w:r>
    </w:p>
    <w:p w14:paraId="47E5A5D3" w14:textId="77777777" w:rsidR="00A37447" w:rsidRPr="00A21BDD" w:rsidRDefault="00A37447">
      <w:pPr>
        <w:pStyle w:val="Ttulo2"/>
        <w:rPr>
          <w:lang w:val="es-PE"/>
        </w:rPr>
      </w:pPr>
      <w:bookmarkStart w:id="39" w:name="_Idx_5_1"/>
      <w:r w:rsidRPr="00A21BDD">
        <w:rPr>
          <w:lang w:val="es-PE"/>
        </w:rPr>
        <w:lastRenderedPageBreak/>
        <w:t>5.1. La coyuntura: un FEN en curso que apunta a alta intensidad</w:t>
      </w:r>
      <w:bookmarkEnd w:id="39"/>
    </w:p>
    <w:p w14:paraId="501759D5" w14:textId="57ABEBAF" w:rsidR="00A37447" w:rsidRPr="00A21BDD" w:rsidRDefault="00A37447">
      <w:pPr>
        <w:keepLines/>
        <w:rPr>
          <w:lang w:val="es-PE"/>
        </w:rPr>
      </w:pPr>
      <w:r w:rsidRPr="00A21BDD">
        <w:rPr>
          <w:highlight w:val="yellow"/>
          <w:lang w:val="es-PE"/>
        </w:rPr>
        <w:t>La anomalía de la temperatura del mar frente a la costa peruana viene escalando semana a semana. A mediados de julio ya superaba los +3,5 °C: la frontera entre un evento fuerte y uno extremo, y un nivel comparable al que mostraba el episodio de 1997-1998 a esta altura del año. Desde entonces no ha dejado de subir: a inicios de octubre superaba los +5 °C, muy por encima de los +3,5 °C que registraba el episodio de 1997-1998 en la misma semana. Un mar más caliente significa más energía en la atmósfera: mayor probabilidad de lluvias intensas en la costa norte y de alteraciones en las lluvias que alimentan a las cuencas de la sierra, justamente las que llenan los embalses de las centrales hidroeléctricas.</w:t>
      </w:r>
    </w:p>
    <w:p w14:paraId="7175ECA2" w14:textId="77777777" w:rsidR="00A37447" w:rsidRPr="00A21BDD" w:rsidRDefault="00A37447">
      <w:pPr>
        <w:keepNext/>
        <w:spacing w:before="160"/>
        <w:jc w:val="center"/>
        <w:rPr>
          <w:lang w:val="es-PE"/>
        </w:rPr>
      </w:pPr>
      <w:r>
        <w:rPr>
          <w:noProof/>
        </w:rPr>
        <w:drawing>
          <wp:inline distT="0" distB="0" distL="0" distR="0" wp14:anchorId="57A7CF84" wp14:editId="5BD0E0B4">
            <wp:extent cx="4320000" cy="3101299"/>
            <wp:effectExtent l="0" t="0" r="0" b="0"/>
            <wp:docPr id="90097" name="Picture 9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13.png"/>
                    <pic:cNvPicPr/>
                  </pic:nvPicPr>
                  <pic:blipFill>
                    <a:blip r:embed="rId23"/>
                    <a:stretch>
                      <a:fillRect/>
                    </a:stretch>
                  </pic:blipFill>
                  <pic:spPr>
                    <a:xfrm>
                      <a:off x="0" y="0"/>
                      <a:ext cx="4320000" cy="3101299"/>
                    </a:xfrm>
                    <a:prstGeom prst="rect">
                      <a:avLst/>
                    </a:prstGeom>
                  </pic:spPr>
                </pic:pic>
              </a:graphicData>
            </a:graphic>
          </wp:inline>
        </w:drawing>
      </w:r>
    </w:p>
    <w:p w14:paraId="3BE7A320" w14:textId="25E129CA" w:rsidR="00A37447" w:rsidRPr="00A21BDD" w:rsidRDefault="00A37447">
      <w:pPr>
        <w:keepLines/>
        <w:rPr>
          <w:lang w:val="es-PE"/>
        </w:rPr>
      </w:pPr>
      <w:r w:rsidRPr="00A21BDD">
        <w:rPr>
          <w:highlight w:val="yellow"/>
          <w:lang w:val="es-PE"/>
        </w:rPr>
        <w:t>Los organismos técnicos ya pusieron cifras a lo que viene. El ENFEN, la comisión oficial que monitorea el fenómeno en el Perú, mantiene declarada la ‘Alerta de El Niño Costero’. Su comunicado 18-2026, del 16 de octubre de 2026, es explícito: el evento costero mantendría una magnitud extraordinaria hasta enero de 2027 y, ya como fuerte, se extendería hasta inicios del otoño de 2027. Sus probabilidades mensuales hablan por sí solas: en octubre y noviembre, 95 % o más de los escenarios corresponden a un evento extraordinario; en diciembre, 80 %; en enero, 65 %. Recién en febrero el escenario fuerte pasa a ser el más probable. En el verano, prácticamente todos los escenarios corresponden a un FEN costero de alta intensidad –al menos 95 % entre diciembre y febrero– y ninguno a condiciones normales.</w:t>
      </w:r>
    </w:p>
    <w:p w14:paraId="7DE0AA03" w14:textId="77777777" w:rsidR="00A37447" w:rsidRPr="00A21BDD" w:rsidRDefault="00A37447">
      <w:pPr>
        <w:keepNext/>
        <w:spacing w:before="160"/>
        <w:jc w:val="center"/>
        <w:rPr>
          <w:lang w:val="es-PE"/>
        </w:rPr>
      </w:pPr>
      <w:r>
        <w:rPr>
          <w:noProof/>
        </w:rPr>
        <w:lastRenderedPageBreak/>
        <w:drawing>
          <wp:inline distT="0" distB="0" distL="0" distR="0" wp14:anchorId="77494CDA" wp14:editId="521643E0">
            <wp:extent cx="4320000" cy="2972534"/>
            <wp:effectExtent l="0" t="0" r="0" b="0"/>
            <wp:docPr id="90098" name="Picture 9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87.png"/>
                    <pic:cNvPicPr/>
                  </pic:nvPicPr>
                  <pic:blipFill>
                    <a:blip r:embed="rId100"/>
                    <a:stretch>
                      <a:fillRect/>
                    </a:stretch>
                  </pic:blipFill>
                  <pic:spPr>
                    <a:xfrm>
                      <a:off x="0" y="0"/>
                      <a:ext cx="4320000" cy="2972534"/>
                    </a:xfrm>
                    <a:prstGeom prst="rect">
                      <a:avLst/>
                    </a:prstGeom>
                  </pic:spPr>
                </pic:pic>
              </a:graphicData>
            </a:graphic>
          </wp:inline>
        </w:drawing>
      </w:r>
    </w:p>
    <w:p w14:paraId="07A8B6D6" w14:textId="77777777" w:rsidR="00A37447" w:rsidRPr="00A21BDD" w:rsidRDefault="00A37447">
      <w:pPr>
        <w:keepNext/>
        <w:spacing w:before="160"/>
        <w:jc w:val="center"/>
        <w:rPr>
          <w:lang w:val="es-PE"/>
        </w:rPr>
      </w:pPr>
      <w:r>
        <w:rPr>
          <w:noProof/>
        </w:rPr>
        <w:drawing>
          <wp:inline distT="0" distB="0" distL="0" distR="0" wp14:anchorId="3B36CBCE" wp14:editId="40357919">
            <wp:extent cx="4320000" cy="2972534"/>
            <wp:effectExtent l="0" t="0" r="0" b="0"/>
            <wp:docPr id="90099" name="Picture 9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88.png"/>
                    <pic:cNvPicPr/>
                  </pic:nvPicPr>
                  <pic:blipFill>
                    <a:blip r:embed="rId101"/>
                    <a:stretch>
                      <a:fillRect/>
                    </a:stretch>
                  </pic:blipFill>
                  <pic:spPr>
                    <a:xfrm>
                      <a:off x="0" y="0"/>
                      <a:ext cx="4320000" cy="2972534"/>
                    </a:xfrm>
                    <a:prstGeom prst="rect">
                      <a:avLst/>
                    </a:prstGeom>
                  </pic:spPr>
                </pic:pic>
              </a:graphicData>
            </a:graphic>
          </wp:inline>
        </w:drawing>
      </w:r>
    </w:p>
    <w:p w14:paraId="3B1CFA52" w14:textId="6FE0B674" w:rsidR="00A37447" w:rsidRPr="00A21BDD" w:rsidRDefault="00A37447">
      <w:pPr>
        <w:keepLines/>
        <w:rPr>
          <w:lang w:val="es-PE"/>
        </w:rPr>
      </w:pPr>
      <w:r w:rsidRPr="00A21BDD">
        <w:rPr>
          <w:highlight w:val="yellow"/>
          <w:lang w:val="es-PE"/>
        </w:rPr>
        <w:t>El pronóstico internacional apunta en la misma dirección para el Niño global. La NOAA, la agencia climática de Estados Unidos, mantiene activa la advertencia de El Niño y estima en más de 83 % la probabilidad de que el evento se mantenga entre fuerte y muy fuerte hasta el trimestre de enero a marzo de 2027. Le asigna, además, 83 % de probabilidad de que entre octubre y diciembre de 2026 supere en intensidad a todos los episodios registrados desde 1950. Las probabilidades del ENFEN para el Pacífico central apuntan a lo mismo: entre octubre y diciembre, 95 % o más de los escenarios son de magnitud ‘muy fuerte’, la categoría más alta para esa región. El calentamiento del Pacífico central, además, sigue escalando: en setiembre, la anomalía de la región de referencia llegó a +2,1 °C.</w:t>
      </w:r>
    </w:p>
    <w:p w14:paraId="61BC0284" w14:textId="7FB31F54" w:rsidR="00A37447" w:rsidRPr="00A21BDD" w:rsidRDefault="00A37447">
      <w:pPr>
        <w:keepLines/>
        <w:rPr>
          <w:lang w:val="es-PE"/>
        </w:rPr>
      </w:pPr>
      <w:r w:rsidRPr="00A21BDD">
        <w:rPr>
          <w:lang w:val="es-PE"/>
        </w:rPr>
        <w:t xml:space="preserve">La lectura conjunta de ambos organismos configura el escenario más exigente: la coincidencia del </w:t>
      </w:r>
      <w:r w:rsidRPr="002A4C7E">
        <w:rPr>
          <w:lang w:val="es-PE"/>
        </w:rPr>
        <w:t>fenómeno costero y del global, como ocurrió en 1982-1983 y 1997-1998. Para el Sistema Eléctrico</w:t>
      </w:r>
      <w:r w:rsidRPr="00A21BDD">
        <w:rPr>
          <w:lang w:val="es-PE"/>
        </w:rPr>
        <w:t>, la señal de alerta está puesta: un verano de lluvias en el norte y de sequía en la sierra pondría a prueba los embalses justo en su punto más vulnerable.</w:t>
      </w:r>
    </w:p>
    <w:p w14:paraId="30EE2EE4" w14:textId="6407451A" w:rsidR="00A37447" w:rsidRPr="00A21BDD" w:rsidRDefault="00A37447">
      <w:pPr>
        <w:pStyle w:val="Ttulo2"/>
        <w:rPr>
          <w:lang w:val="es-PE"/>
        </w:rPr>
      </w:pPr>
      <w:bookmarkStart w:id="40" w:name="_Idx_5_2"/>
      <w:r w:rsidRPr="00A21BDD">
        <w:rPr>
          <w:lang w:val="es-PE"/>
        </w:rPr>
        <w:lastRenderedPageBreak/>
        <w:t xml:space="preserve">5.2. Cómo el FEN golpea al </w:t>
      </w:r>
      <w:r>
        <w:rPr>
          <w:lang w:val="es-PE"/>
        </w:rPr>
        <w:t>S</w:t>
      </w:r>
      <w:r w:rsidRPr="00A21BDD">
        <w:rPr>
          <w:lang w:val="es-PE"/>
        </w:rPr>
        <w:t xml:space="preserve">istema </w:t>
      </w:r>
      <w:r>
        <w:rPr>
          <w:lang w:val="es-PE"/>
        </w:rPr>
        <w:t>E</w:t>
      </w:r>
      <w:r w:rsidRPr="00A21BDD">
        <w:rPr>
          <w:lang w:val="es-PE"/>
        </w:rPr>
        <w:t>léctrico: el orden de mérito</w:t>
      </w:r>
      <w:bookmarkEnd w:id="40"/>
    </w:p>
    <w:p w14:paraId="3C89B739" w14:textId="6C363125" w:rsidR="00A37447" w:rsidRPr="00623271" w:rsidRDefault="00A37447">
      <w:pPr>
        <w:keepLines/>
        <w:rPr>
          <w:lang w:val="es-PE"/>
        </w:rPr>
      </w:pPr>
      <w:r w:rsidRPr="00A21BDD">
        <w:rPr>
          <w:lang w:val="es-PE"/>
        </w:rPr>
        <w:t>Para entender por qué una sequía encarece la electricidad hay que empezar por una pregunta simple: ¿quién decide qué central se enciende en cada momento? En el Perú lo decide el COES, el operador del sistema, con una regla transparente: las centrales se ordenan de la más barata a la más cara, y se van encendiendo en ese orden hasta cubrir la demanda de cada hora. A esa fila se le llama el orden de mérito. En condiciones normales, la demanda se cubre con las fuentes de menor costo: renovables, hidroeléctricas y gas natural. El problema aparece cuando alguna de ellas falla y hay que llamar a las más caras de la fila.</w:t>
      </w:r>
    </w:p>
    <w:p w14:paraId="65EE0F9C" w14:textId="1A439875" w:rsidR="00A37447" w:rsidRPr="006245F2" w:rsidRDefault="00A37447" w:rsidP="006245F2">
      <w:pPr>
        <w:keepLines/>
        <w:rPr>
          <w:lang w:val="es-PE"/>
        </w:rPr>
      </w:pPr>
      <w:r>
        <w:rPr>
          <w:lang w:val="es-PE"/>
        </w:rPr>
        <w:t>La segunda pieza es el precio spot. Cada hora, el costo de la central más cara que tuvo que encenderse define el costo marginal del sistema: el precio spot, al que se valorizan las compras y ventas de electricidad de muy corto plazo entre los agentes del mercado. Conviene precisar quién está expuesto a ese precio, porque la mayoría de los usuarios no lo paga directamente. Tanto los clientes regulados –hogares y pequeños comercios, a través de las distribuidoras– como los clientes libres –las grandes empresas– compran su electricidad mediante contratos pactados a precios específicos, que los protegen mientras estén vigentes. El alza del spot golpea, sobre todo, a tres grupos: a las empresas que consumen por encima de lo contratado y deben comprar ese exceso a precio spot; a las que renuevan contrato en plena crisis, cuando los generadores trasladan el mayor riesgo a sus ofertas; y a las que arrastran de negociaciones pasadas cláusulas FEN que protegen al generador y le permiten trasladar los sobrecostos durante el fenómeno. Un spot alto y persistente, además, puede filtrarse con rezago a las tarifas reguladas. En suma: el spot no golpea a todos por igual ni de inmediato, pero es el termómetro del estrés del sistema y el origen de un sobrecosto que alguien termina pagando.</w:t>
      </w:r>
      <w:r>
        <w:rPr>
          <w:noProof/>
        </w:rPr>
        <w:drawing>
          <wp:inline distT="0" distB="0" distL="0" distR="0" wp14:anchorId="5E739710" wp14:editId="137718A2">
            <wp:extent cx="5400000" cy="3601298"/>
            <wp:effectExtent l="0" t="0" r="0" b="0"/>
            <wp:docPr id="90100" name="Picture 9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89.png"/>
                    <pic:cNvPicPr/>
                  </pic:nvPicPr>
                  <pic:blipFill>
                    <a:blip r:embed="rId102"/>
                    <a:stretch>
                      <a:fillRect/>
                    </a:stretch>
                  </pic:blipFill>
                  <pic:spPr>
                    <a:xfrm>
                      <a:off x="0" y="0"/>
                      <a:ext cx="5400000" cy="3601298"/>
                    </a:xfrm>
                    <a:prstGeom prst="rect">
                      <a:avLst/>
                    </a:prstGeom>
                  </pic:spPr>
                </pic:pic>
              </a:graphicData>
            </a:graphic>
          </wp:inline>
        </w:drawing>
      </w:r>
    </w:p>
    <w:p w14:paraId="36773AA3" w14:textId="77777777" w:rsidR="006245F2" w:rsidRDefault="006245F2">
      <w:pPr>
        <w:rPr>
          <w:lang w:val="es-PE"/>
        </w:rPr>
      </w:pPr>
    </w:p>
    <w:p w14:paraId="1E0DABD8" w14:textId="5F70FEE8" w:rsidR="00A37447" w:rsidRPr="00A21BDD" w:rsidRDefault="00A37447">
      <w:pPr>
        <w:keepLines/>
        <w:rPr>
          <w:lang w:val="es-PE"/>
        </w:rPr>
      </w:pPr>
      <w:r w:rsidRPr="00A21BDD">
        <w:rPr>
          <w:lang w:val="es-PE"/>
        </w:rPr>
        <w:lastRenderedPageBreak/>
        <w:t xml:space="preserve">El escalón más bajo lo ocupan las energías renovables no convencionales (solar y eólica), que no consumen combustible y generan al costo más bajo. Su </w:t>
      </w:r>
      <w:r w:rsidRPr="00422169">
        <w:rPr>
          <w:lang w:val="es-PE"/>
        </w:rPr>
        <w:t>participación en el parque</w:t>
      </w:r>
      <w:r w:rsidRPr="00A21BDD">
        <w:rPr>
          <w:lang w:val="es-PE"/>
        </w:rPr>
        <w:t xml:space="preserve"> casi se triplicó entre 2021 y 2025 </w:t>
      </w:r>
      <w:r>
        <w:rPr>
          <w:lang w:val="es-PE"/>
        </w:rPr>
        <w:t>–</w:t>
      </w:r>
      <w:r w:rsidRPr="00A21BDD">
        <w:rPr>
          <w:lang w:val="es-PE"/>
        </w:rPr>
        <w:t>pasó de 5 % a 14 %</w:t>
      </w:r>
      <w:r>
        <w:rPr>
          <w:lang w:val="es-PE"/>
        </w:rPr>
        <w:t>–</w:t>
      </w:r>
      <w:r w:rsidRPr="00A21BDD">
        <w:rPr>
          <w:lang w:val="es-PE"/>
        </w:rPr>
        <w:t>, un avance real; pero siguen siendo una fracción menor de la potencia total y, por su naturaleza, no pueden ofrecerse en firme.</w:t>
      </w:r>
    </w:p>
    <w:p w14:paraId="1E7E367C" w14:textId="77777777" w:rsidR="00A37447" w:rsidRPr="00A21BDD" w:rsidRDefault="00A37447">
      <w:pPr>
        <w:spacing w:before="160"/>
        <w:jc w:val="center"/>
        <w:rPr>
          <w:lang w:val="es-PE"/>
        </w:rPr>
      </w:pPr>
      <w:r>
        <w:rPr>
          <w:noProof/>
        </w:rPr>
        <w:drawing>
          <wp:inline distT="0" distB="0" distL="0" distR="0" wp14:anchorId="5AF8ADD5" wp14:editId="113199F3">
            <wp:extent cx="4320000" cy="2924451"/>
            <wp:effectExtent l="0" t="0" r="0" b="0"/>
            <wp:docPr id="90101" name="Picture 9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90.png"/>
                    <pic:cNvPicPr/>
                  </pic:nvPicPr>
                  <pic:blipFill>
                    <a:blip r:embed="rId103"/>
                    <a:stretch>
                      <a:fillRect/>
                    </a:stretch>
                  </pic:blipFill>
                  <pic:spPr>
                    <a:xfrm>
                      <a:off x="0" y="0"/>
                      <a:ext cx="4320000" cy="2924451"/>
                    </a:xfrm>
                    <a:prstGeom prst="rect">
                      <a:avLst/>
                    </a:prstGeom>
                  </pic:spPr>
                </pic:pic>
              </a:graphicData>
            </a:graphic>
          </wp:inline>
        </w:drawing>
      </w:r>
    </w:p>
    <w:p w14:paraId="77D39768" w14:textId="1513F7B6" w:rsidR="00A37447" w:rsidRPr="00A21BDD" w:rsidRDefault="00A37447">
      <w:pPr>
        <w:keepLines/>
        <w:rPr>
          <w:lang w:val="es-PE"/>
        </w:rPr>
      </w:pPr>
      <w:r>
        <w:rPr>
          <w:lang w:val="es-PE"/>
        </w:rPr>
        <w:t xml:space="preserve">La razón es que capacidad instalada no es lo mismo que energía firme –la que está disponible con seguridad cuando el sistema la necesita–. Las renovables dependen del sol y del viento: operan con los factores de planta más bajos del sistema y no se pueden despachar a voluntad. La generación térmica, en cambio, es la más firme del parque, </w:t>
      </w:r>
      <w:r w:rsidR="006245F2">
        <w:rPr>
          <w:lang w:val="es-PE"/>
        </w:rPr>
        <w:t xml:space="preserve">y </w:t>
      </w:r>
      <w:r w:rsidRPr="00A21BDD">
        <w:rPr>
          <w:lang w:val="es-PE"/>
        </w:rPr>
        <w:t xml:space="preserve">aporta cerca de la mitad de la potencia </w:t>
      </w:r>
      <w:r>
        <w:rPr>
          <w:lang w:val="es-PE"/>
        </w:rPr>
        <w:t>efectiva del país (49 % a fines de 2025). Casi toda esa capacidad puede operar con gas natural –el 86 %, si se incluyen las centrales duales del sur–, pero solo el 60 % está conectada a un ducto, casi toda al sistema de Camisea.</w:t>
      </w:r>
      <w:r w:rsidRPr="00A21BDD">
        <w:rPr>
          <w:lang w:val="es-PE"/>
        </w:rPr>
        <w:t xml:space="preserve"> Esa </w:t>
      </w:r>
      <w:r>
        <w:rPr>
          <w:lang w:val="es-PE"/>
        </w:rPr>
        <w:t>es la potencia con la que el Perú ya cuenta para respaldar el sistema durante un FEN; cerca de un tercio de la capacidad apta para gas todavía espera que el gas llegue.</w:t>
      </w:r>
    </w:p>
    <w:p w14:paraId="46E18A40" w14:textId="77777777" w:rsidR="00A37447" w:rsidRPr="00A21BDD" w:rsidRDefault="00A37447">
      <w:pPr>
        <w:keepLines/>
        <w:rPr>
          <w:lang w:val="es-PE"/>
        </w:rPr>
      </w:pPr>
      <w:r w:rsidRPr="00A21BDD">
        <w:rPr>
          <w:lang w:val="es-PE"/>
        </w:rPr>
        <w:t>La intermitencia de las renovables es tan marcada que la potencia de una central solar sube y baja a lo largo del día y cae a cero por la noche. Por eso, aunque limpias y baratas, no pueden sostener por sí solas el sistema cuando falla una fuente mayor: hace falta una fuente firme que tome el relevo.</w:t>
      </w:r>
    </w:p>
    <w:p w14:paraId="4E47D910" w14:textId="4890EFFA" w:rsidR="00A37447" w:rsidRPr="00A21BDD" w:rsidRDefault="00A37447">
      <w:pPr>
        <w:spacing w:before="160"/>
        <w:jc w:val="center"/>
        <w:rPr>
          <w:lang w:val="es-PE"/>
        </w:rPr>
      </w:pPr>
      <w:r>
        <w:rPr>
          <w:noProof/>
        </w:rPr>
        <w:lastRenderedPageBreak/>
        <w:drawing>
          <wp:inline distT="0" distB="0" distL="0" distR="0" wp14:anchorId="36EBC363" wp14:editId="0DB38B14">
            <wp:extent cx="4320000" cy="2975447"/>
            <wp:effectExtent l="0" t="0" r="0" b="0"/>
            <wp:docPr id="90102" name="Picture 9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91.png"/>
                    <pic:cNvPicPr/>
                  </pic:nvPicPr>
                  <pic:blipFill>
                    <a:blip r:embed="rId104"/>
                    <a:stretch>
                      <a:fillRect/>
                    </a:stretch>
                  </pic:blipFill>
                  <pic:spPr>
                    <a:xfrm>
                      <a:off x="0" y="0"/>
                      <a:ext cx="4320000" cy="2975447"/>
                    </a:xfrm>
                    <a:prstGeom prst="rect">
                      <a:avLst/>
                    </a:prstGeom>
                  </pic:spPr>
                </pic:pic>
              </a:graphicData>
            </a:graphic>
          </wp:inline>
        </w:drawing>
      </w:r>
    </w:p>
    <w:p w14:paraId="0D64857E" w14:textId="21B4DE2E" w:rsidR="00A37447" w:rsidRPr="00A21BDD" w:rsidRDefault="00A37447">
      <w:pPr>
        <w:keepLines/>
        <w:rPr>
          <w:lang w:val="es-PE"/>
        </w:rPr>
      </w:pPr>
      <w:r w:rsidRPr="00A21BDD">
        <w:rPr>
          <w:lang w:val="es-PE"/>
        </w:rPr>
        <w:t xml:space="preserve">Ese relevo empieza por la generación hidroeléctrica, el gran soporte del sistema: en un año normal aporta </w:t>
      </w:r>
      <w:r w:rsidRPr="00422169">
        <w:rPr>
          <w:lang w:val="es-PE"/>
        </w:rPr>
        <w:t>entre 50 % y 60 %</w:t>
      </w:r>
      <w:r w:rsidRPr="00A21BDD">
        <w:rPr>
          <w:lang w:val="es-PE"/>
        </w:rPr>
        <w:t xml:space="preserve"> de la electricidad del país y a bajo costo. Pero es, a la vez, la fuente más expuesta al FEN. Cuando el </w:t>
      </w:r>
      <w:r w:rsidRPr="00422169">
        <w:rPr>
          <w:lang w:val="es-PE"/>
        </w:rPr>
        <w:t>déficit de lluvias en las cuencas altas profundiza el estiaje</w:t>
      </w:r>
      <w:r w:rsidRPr="00A21BDD">
        <w:rPr>
          <w:lang w:val="es-PE"/>
        </w:rPr>
        <w:t>, el nivel de los embalses baja y la hidroelectricidad se contrae. Además, esa merma no se reparte de forma pareja a lo largo del año: se concentra en la temporada seca, entre junio y setiembre, justo cuando el fenómeno agudiza la falta de agua. El contraste de la producción hidroeléctrica mes a mes entre un año con FEN y uno regular lo muestra con nitidez.</w:t>
      </w:r>
    </w:p>
    <w:p w14:paraId="0CABA15D" w14:textId="77777777" w:rsidR="00A37447" w:rsidRPr="00A21BDD" w:rsidRDefault="00A37447">
      <w:pPr>
        <w:spacing w:before="160"/>
        <w:jc w:val="center"/>
        <w:rPr>
          <w:lang w:val="es-PE"/>
        </w:rPr>
      </w:pPr>
      <w:r>
        <w:rPr>
          <w:noProof/>
        </w:rPr>
        <w:drawing>
          <wp:inline distT="0" distB="0" distL="0" distR="0" wp14:anchorId="3BEB3723" wp14:editId="49AF0E62">
            <wp:extent cx="4320000" cy="3112392"/>
            <wp:effectExtent l="0" t="0" r="0" b="0"/>
            <wp:docPr id="90103" name="Picture 9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92.png"/>
                    <pic:cNvPicPr/>
                  </pic:nvPicPr>
                  <pic:blipFill>
                    <a:blip r:embed="rId105"/>
                    <a:stretch>
                      <a:fillRect/>
                    </a:stretch>
                  </pic:blipFill>
                  <pic:spPr>
                    <a:xfrm>
                      <a:off x="0" y="0"/>
                      <a:ext cx="4320000" cy="3112392"/>
                    </a:xfrm>
                    <a:prstGeom prst="rect">
                      <a:avLst/>
                    </a:prstGeom>
                  </pic:spPr>
                </pic:pic>
              </a:graphicData>
            </a:graphic>
          </wp:inline>
        </w:drawing>
      </w:r>
    </w:p>
    <w:p w14:paraId="54EC2105" w14:textId="77777777" w:rsidR="00A37447" w:rsidRPr="00A21BDD" w:rsidRDefault="00A37447">
      <w:pPr>
        <w:keepLines/>
        <w:rPr>
          <w:lang w:val="es-PE"/>
        </w:rPr>
      </w:pPr>
      <w:r w:rsidRPr="00A21BDD">
        <w:rPr>
          <w:lang w:val="es-PE"/>
        </w:rPr>
        <w:t>Sobre el conjunto del año, esa contracción reordena la matriz de generación: la hidroelectricidad pasó de aportar 57 % del total en 2021 a solo 48 % durante el FEN de 2023, y el hueco resultante lo cubrió, sobre todo, la generación termoeléctrica.</w:t>
      </w:r>
    </w:p>
    <w:p w14:paraId="5AAB065B" w14:textId="77777777" w:rsidR="00A37447" w:rsidRPr="00A21BDD" w:rsidRDefault="00A37447">
      <w:pPr>
        <w:spacing w:before="160"/>
        <w:jc w:val="center"/>
        <w:rPr>
          <w:lang w:val="es-PE"/>
        </w:rPr>
      </w:pPr>
      <w:r>
        <w:rPr>
          <w:noProof/>
        </w:rPr>
        <w:lastRenderedPageBreak/>
        <w:drawing>
          <wp:inline distT="0" distB="0" distL="0" distR="0" wp14:anchorId="5BC7A92E" wp14:editId="15B232EA">
            <wp:extent cx="4320000" cy="2833247"/>
            <wp:effectExtent l="0" t="0" r="0" b="0"/>
            <wp:docPr id="90104" name="Picture 9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93.png"/>
                    <pic:cNvPicPr/>
                  </pic:nvPicPr>
                  <pic:blipFill>
                    <a:blip r:embed="rId106"/>
                    <a:stretch>
                      <a:fillRect/>
                    </a:stretch>
                  </pic:blipFill>
                  <pic:spPr>
                    <a:xfrm>
                      <a:off x="0" y="0"/>
                      <a:ext cx="4320000" cy="2833247"/>
                    </a:xfrm>
                    <a:prstGeom prst="rect">
                      <a:avLst/>
                    </a:prstGeom>
                  </pic:spPr>
                </pic:pic>
              </a:graphicData>
            </a:graphic>
          </wp:inline>
        </w:drawing>
      </w:r>
    </w:p>
    <w:p w14:paraId="38805990" w14:textId="5BD021BC" w:rsidR="00A37447" w:rsidRPr="00A21BDD" w:rsidRDefault="00A37447">
      <w:pPr>
        <w:keepLines/>
        <w:rPr>
          <w:lang w:val="es-PE"/>
        </w:rPr>
      </w:pPr>
      <w:r w:rsidRPr="00A21BDD">
        <w:rPr>
          <w:lang w:val="es-PE"/>
        </w:rPr>
        <w:t>Cuando la hidroeléctrica no alcanza, el relevo firme lo toma la generación a gas natural, en centrales de ciclo combinado eficientes</w:t>
      </w:r>
      <w:r>
        <w:rPr>
          <w:lang w:val="es-PE"/>
        </w:rPr>
        <w:t>,</w:t>
      </w:r>
      <w:r w:rsidRPr="00A21BDD">
        <w:rPr>
          <w:lang w:val="es-PE"/>
        </w:rPr>
        <w:t xml:space="preserve"> cuya potencia ya está instalada. Solo si el gas no llega en cantidad suficiente entra el último recurso de la fila: el diésel, varias veces más caro. Y como el precio </w:t>
      </w:r>
      <w:r w:rsidRPr="004F3DB7">
        <w:rPr>
          <w:i/>
          <w:iCs/>
          <w:lang w:val="es-PE"/>
        </w:rPr>
        <w:t>spot</w:t>
      </w:r>
      <w:r w:rsidRPr="00A21BDD">
        <w:rPr>
          <w:lang w:val="es-PE"/>
        </w:rPr>
        <w:t xml:space="preserve"> lo fija la última central que se enciende, basta con que unas pocas unidades a diésel entren al margen para que el </w:t>
      </w:r>
      <w:r w:rsidRPr="004F3DB7">
        <w:rPr>
          <w:i/>
          <w:iCs/>
          <w:lang w:val="es-PE"/>
        </w:rPr>
        <w:t>spot</w:t>
      </w:r>
      <w:r w:rsidRPr="00A21BDD">
        <w:rPr>
          <w:lang w:val="es-PE"/>
        </w:rPr>
        <w:t xml:space="preserve"> se multiplique. No todos lo sienten de inmediato: los contratos amortiguan el primer golpe. Pero el sobrecosto existe y se abre paso, en los excedentes comprados a </w:t>
      </w:r>
      <w:r w:rsidRPr="004F3DB7">
        <w:rPr>
          <w:i/>
          <w:iCs/>
          <w:lang w:val="es-PE"/>
        </w:rPr>
        <w:t>spot,</w:t>
      </w:r>
      <w:r w:rsidRPr="00A21BDD">
        <w:rPr>
          <w:lang w:val="es-PE"/>
        </w:rPr>
        <w:t xml:space="preserve"> en los contratos que se renuevan más caros y, con el tiempo, en las tarifas. Ahí está el nudo del problema: que el respaldo lo dé el gas y no el diésel depende de que el gas efectivamente llegue a las centrales.</w:t>
      </w:r>
    </w:p>
    <w:p w14:paraId="2EF8AA47" w14:textId="32BC442F" w:rsidR="00A37447" w:rsidRPr="00A21BDD" w:rsidRDefault="00A37447">
      <w:pPr>
        <w:pStyle w:val="Ttulo2"/>
        <w:rPr>
          <w:lang w:val="es-PE"/>
        </w:rPr>
      </w:pPr>
      <w:bookmarkStart w:id="41" w:name="_Idx_5_3"/>
      <w:r w:rsidRPr="00A21BDD">
        <w:rPr>
          <w:lang w:val="es-PE"/>
        </w:rPr>
        <w:t>5.3. Las crisis pasadas: la experiencia peruana e internacional sin el respaldo del gas natural</w:t>
      </w:r>
      <w:bookmarkEnd w:id="41"/>
    </w:p>
    <w:p w14:paraId="14A92BC7" w14:textId="7E307426" w:rsidR="00A37447" w:rsidRPr="00A21BDD" w:rsidRDefault="00A37447">
      <w:pPr>
        <w:keepLines/>
        <w:rPr>
          <w:lang w:val="es-PE"/>
        </w:rPr>
      </w:pPr>
      <w:r w:rsidRPr="006513C4">
        <w:rPr>
          <w:lang w:val="es-PE"/>
        </w:rPr>
        <w:t xml:space="preserve">El gas natural respalda al sistema de forma permanente </w:t>
      </w:r>
      <w:r>
        <w:rPr>
          <w:lang w:val="es-PE"/>
        </w:rPr>
        <w:t>–</w:t>
      </w:r>
      <w:r w:rsidRPr="006513C4">
        <w:rPr>
          <w:lang w:val="es-PE"/>
        </w:rPr>
        <w:t>la hidroelectricidad no suele alcanzar para cubrir toda la demanda en todo momento</w:t>
      </w:r>
      <w:r>
        <w:rPr>
          <w:lang w:val="es-PE"/>
        </w:rPr>
        <w:t>–</w:t>
      </w:r>
      <w:r w:rsidRPr="006513C4">
        <w:rPr>
          <w:lang w:val="es-PE"/>
        </w:rPr>
        <w:t>, pero su aporte se vuelve decisivo cuando una sequía severa reduce el agua disponible. El contraste entre las crisis de la región es claro. Donde existe suficiente generación firme con combustible disponible, la escasez de agua se traduce en un encarecimiento temporal de la electricidad; donde ese soporte falta, el mismo golpe climático termina en cortes y racionamiento. El gas convierte un riesgo de apagón en un riesgo de mayor costo: un problema serio, pero mucho más manejable que quedarse a oscuras.</w:t>
      </w:r>
    </w:p>
    <w:p w14:paraId="39013DCC" w14:textId="0AB7EABD" w:rsidR="00A37447" w:rsidRDefault="00A37447">
      <w:pPr>
        <w:keepLines/>
        <w:rPr>
          <w:lang w:val="es-PE"/>
        </w:rPr>
      </w:pPr>
      <w:r w:rsidRPr="006513C4">
        <w:rPr>
          <w:lang w:val="es-PE"/>
        </w:rPr>
        <w:t>Detrás de esa diferencia hay un principio que las emergencias vuelven evidente: la generación hidroeléctrica no es constante, porque depende de un caudal que varía; por eso la potencia instalada no siempre se traduce en la energía que el sistema necesita.</w:t>
      </w:r>
      <w:r w:rsidRPr="00A21BDD">
        <w:rPr>
          <w:lang w:val="es-PE"/>
        </w:rPr>
        <w:t xml:space="preserve"> Una central puede figurar con cientos de megavatios en el papel y, aun así, producir muy por debajo de su máximo cuando los embalses y caudales bajan. Por eso una matriz puede lucir holgada en capacidad y, a la vez, quedar corta de energía cuando más se la necesita. Lo que protege al sistema no es la potencia nominal, sino la capacidad efectiva de generar durante la emergencia.</w:t>
      </w:r>
    </w:p>
    <w:p w14:paraId="18C5C91D" w14:textId="77777777" w:rsidR="0019639F" w:rsidRDefault="0019639F">
      <w:pPr>
        <w:rPr>
          <w:lang w:val="es-PE"/>
        </w:rPr>
      </w:pPr>
    </w:p>
    <w:p w14:paraId="7FAC800A" w14:textId="1DD03271" w:rsidR="00A37447" w:rsidRPr="00A21BDD" w:rsidRDefault="00A37447">
      <w:pPr>
        <w:keepLines/>
        <w:rPr>
          <w:lang w:val="es-PE"/>
        </w:rPr>
      </w:pPr>
      <w:r w:rsidRPr="00A21BDD">
        <w:rPr>
          <w:lang w:val="es-PE"/>
        </w:rPr>
        <w:lastRenderedPageBreak/>
        <w:t xml:space="preserve">El propio Perú conoció, antes de Camisea, lo caro que resulta enfrentar una sequía sin un respaldo eficiente. En 1992, un </w:t>
      </w:r>
      <w:r>
        <w:rPr>
          <w:lang w:val="es-PE"/>
        </w:rPr>
        <w:t xml:space="preserve">FEN </w:t>
      </w:r>
      <w:r w:rsidRPr="00A21BDD">
        <w:rPr>
          <w:lang w:val="es-PE"/>
        </w:rPr>
        <w:t xml:space="preserve">global derivó en una escasez hídrica extrema </w:t>
      </w:r>
      <w:r>
        <w:rPr>
          <w:lang w:val="es-PE"/>
        </w:rPr>
        <w:t>–</w:t>
      </w:r>
      <w:r w:rsidRPr="00A21BDD">
        <w:rPr>
          <w:lang w:val="es-PE"/>
        </w:rPr>
        <w:t>una de las más agudas que registra el SENAMHI</w:t>
      </w:r>
      <w:r>
        <w:rPr>
          <w:lang w:val="es-PE"/>
        </w:rPr>
        <w:t>–</w:t>
      </w:r>
      <w:r w:rsidRPr="00A21BDD">
        <w:rPr>
          <w:lang w:val="es-PE"/>
        </w:rPr>
        <w:t xml:space="preserve"> que vació los embalses y dejó al sistema, </w:t>
      </w:r>
      <w:r>
        <w:rPr>
          <w:lang w:val="es-PE"/>
        </w:rPr>
        <w:t>que era casi</w:t>
      </w:r>
      <w:r w:rsidRPr="00A21BDD">
        <w:rPr>
          <w:lang w:val="es-PE"/>
        </w:rPr>
        <w:t xml:space="preserve"> enteramente hidroeléctrico, sin cómo cubrir la demanda. La respuesta fue el racionamiento: el Estado fijó cuotas de consumo eléctrico para los meses finales del año y, mediante el Decreto Ley 25573, obligó a las empresas de servicio público a adquirir la producción excedente de los autoproductores con generación termoeléctrica, a precios libremente pactados. Es decir, para no quedarse a oscuras</w:t>
      </w:r>
      <w:r>
        <w:rPr>
          <w:lang w:val="es-PE"/>
        </w:rPr>
        <w:t>,</w:t>
      </w:r>
      <w:r w:rsidRPr="00A21BDD">
        <w:rPr>
          <w:lang w:val="es-PE"/>
        </w:rPr>
        <w:t xml:space="preserve"> el país tuvo que recurrir a energía térmica de emergencia, cara y a base de combustibles líquidos, pues el gas de Camisea recién llegaría más de una década después, en 2004.</w:t>
      </w:r>
    </w:p>
    <w:p w14:paraId="653C9700" w14:textId="711E3A4D" w:rsidR="00A37447" w:rsidRDefault="00A37447">
      <w:pPr>
        <w:keepLines/>
        <w:rPr>
          <w:lang w:val="es-PE"/>
        </w:rPr>
      </w:pPr>
      <w:r w:rsidRPr="00A21BDD">
        <w:rPr>
          <w:lang w:val="es-PE"/>
        </w:rPr>
        <w:t>El costo de esa fragilidad se trasladó a la economía real. Con el suministro racionado, la industria operó a media marcha: la refinería de zinc de Cajamarquilla, por ejemplo, funcionó al 60 % de su capacidad por las restricciones de energía, mientras que los sectores químico y siderometalúrgico vieron subir sus costos y perder competitividad ante las dificultades de abastecimiento eléctrico, según consignó el Banco Central de Reserva en su memoria de aquel año; incluso las exportaciones textiles retrocedieron, con la falta de fluido eléctrico entre sus causas.</w:t>
      </w:r>
    </w:p>
    <w:p w14:paraId="17B90409" w14:textId="4A711940" w:rsidR="00A37447" w:rsidRPr="00A21BDD" w:rsidRDefault="00A37447">
      <w:pPr>
        <w:keepLines/>
        <w:rPr>
          <w:lang w:val="es-PE"/>
        </w:rPr>
      </w:pPr>
      <w:r w:rsidRPr="00A21BDD">
        <w:rPr>
          <w:lang w:val="es-PE"/>
        </w:rPr>
        <w:t xml:space="preserve">La región ofrece dos espejos complementarios. El primero es Colombia, también en 1992. Una sequía asociada al mismo FEN que golpeó al Perú vació los embalses de un sistema fuertemente dependiente del agua y con escaso respaldo disponible; el resultado fue un racionamiento que se prolongó casi un año </w:t>
      </w:r>
      <w:r>
        <w:rPr>
          <w:lang w:val="es-PE"/>
        </w:rPr>
        <w:t>–</w:t>
      </w:r>
      <w:r w:rsidRPr="00A21BDD">
        <w:rPr>
          <w:lang w:val="es-PE"/>
        </w:rPr>
        <w:t>de marzo de 1992 a febrero de 1993</w:t>
      </w:r>
      <w:r>
        <w:rPr>
          <w:lang w:val="es-PE"/>
        </w:rPr>
        <w:t>–</w:t>
      </w:r>
      <w:r w:rsidRPr="00A21BDD">
        <w:rPr>
          <w:lang w:val="es-PE"/>
        </w:rPr>
        <w:t xml:space="preserve"> y obligó al Gobierno a adoptar medidas de emergencia, incluido el célebre adelanto de la hora oficial para ahorrar electricidad. El clima fue el detonante, pero fue la vulnerabilidad de la matriz la que transformó el </w:t>
      </w:r>
      <w:r w:rsidRPr="004F3DB7">
        <w:rPr>
          <w:i/>
          <w:iCs/>
          <w:lang w:val="es-PE"/>
        </w:rPr>
        <w:t>shock</w:t>
      </w:r>
      <w:r w:rsidRPr="00A21BDD">
        <w:rPr>
          <w:lang w:val="es-PE"/>
        </w:rPr>
        <w:t xml:space="preserve"> en casi doce meses de cortes. Tras la crisis, Colombia impulsó la diversificación de su generación y el desarrollo del gas natural, precisamente para que un próximo Niño no volviera a terminar en apagones.</w:t>
      </w:r>
    </w:p>
    <w:p w14:paraId="4B1323BE" w14:textId="05EAD477" w:rsidR="00A37447" w:rsidRPr="00A21BDD" w:rsidRDefault="00A37447">
      <w:pPr>
        <w:keepLines/>
        <w:rPr>
          <w:lang w:val="es-PE"/>
        </w:rPr>
      </w:pPr>
      <w:r>
        <w:rPr>
          <w:lang w:val="es-PE"/>
        </w:rPr>
        <w:t>Este episodio es relevante, ya que anticipa con precisión el nudo peruano: Colombia ya contaba en 1992 con una industria del gas natural en marcha y, aun así, esta no alcanzó a amortiguar la caída hidroeléctrica. El motivo fue, coincidentemente, de transporte e infraestructura. La oferta de gas estaba concentrada casi por completo en la costa Caribe y Santander, mientras que el déficit eléctrico se sentía en el interior y el occidente, donde ciudades como Medellín apenas tenían alternativas a la electricidad. Podía haber molécula y generación a gas en el Caribe, pero faltaba la ‘carretera’ para trasladar ese combustible hasta las centrales y los mercados donde hacía falta: el país tenía apenas unos 500 km de gasoductos –el gas llegaba a poco más de 30 municipios– y el sistema troncal que uniría La Guajira con el interior recién empezaría a construirse ese mismo año. A ello se sumaba un parque térmico que, aunque existía –unos 2.100 MW, cerca del 22 % del sistema–, operaba a apenas dos tercios de su capacidad por obsolescencia y fallas de mantenimiento. No basta, pues, con tener gas ni con tener centrales: se necesitan a la vez ductos, suministro firme y unidades disponibles. Tras la crisis, Colombia no solo sumó generación; desarrolló en paralelo su red nacional de gas y su capacidad térmica confiable.</w:t>
      </w:r>
    </w:p>
    <w:p w14:paraId="2FDC7F3F" w14:textId="4F97AC9E" w:rsidR="00A37447" w:rsidRPr="00A21BDD" w:rsidRDefault="00A37447">
      <w:pPr>
        <w:keepLines/>
        <w:rPr>
          <w:lang w:val="es-PE"/>
        </w:rPr>
      </w:pPr>
      <w:r w:rsidRPr="00A21BDD">
        <w:rPr>
          <w:lang w:val="es-PE"/>
        </w:rPr>
        <w:lastRenderedPageBreak/>
        <w:t xml:space="preserve">El segundo espejo, más reciente y cercano, es Ecuador. </w:t>
      </w:r>
      <w:r>
        <w:rPr>
          <w:lang w:val="es-PE"/>
        </w:rPr>
        <w:t xml:space="preserve">A diferencia de Colombia y el Perú, este país cuenta con una generación térmica a gas natural marginal. </w:t>
      </w:r>
      <w:r w:rsidRPr="00A21BDD">
        <w:rPr>
          <w:lang w:val="es-PE"/>
        </w:rPr>
        <w:t xml:space="preserve">Cerca de dos tercios de su electricidad provienen de centrales hidroeléctricas, de modo que esa dependencia del agua se volvió su punto débil apenas el </w:t>
      </w:r>
      <w:r>
        <w:rPr>
          <w:lang w:val="es-PE"/>
        </w:rPr>
        <w:t>FEN</w:t>
      </w:r>
      <w:r w:rsidRPr="00A21BDD">
        <w:rPr>
          <w:lang w:val="es-PE"/>
        </w:rPr>
        <w:t xml:space="preserve"> y la sequía asociada empezaron a golpear: los primeros cortes de electricidad arrancaron </w:t>
      </w:r>
      <w:r w:rsidRPr="00422169">
        <w:rPr>
          <w:lang w:val="es-PE"/>
        </w:rPr>
        <w:t>ya</w:t>
      </w:r>
      <w:r w:rsidRPr="00A21BDD">
        <w:rPr>
          <w:lang w:val="es-PE"/>
        </w:rPr>
        <w:t xml:space="preserve"> en 2023, cuando la menor disponibilidad hídrica recortó la generación. La situación se agravó en 2024, cuando la peor sequía en unas seis décadas hundió la producción hidroeléctrica. El respaldo térmico existía, pero resultó insuficiente y poco confiable </w:t>
      </w:r>
      <w:r>
        <w:rPr>
          <w:lang w:val="es-PE"/>
        </w:rPr>
        <w:t>–</w:t>
      </w:r>
      <w:r w:rsidRPr="00A21BDD">
        <w:rPr>
          <w:lang w:val="es-PE"/>
        </w:rPr>
        <w:t>parque antiguo, problemas de mantenimiento y de abastecimiento de combustible</w:t>
      </w:r>
      <w:r>
        <w:rPr>
          <w:lang w:val="es-PE"/>
        </w:rPr>
        <w:t>–</w:t>
      </w:r>
      <w:r w:rsidRPr="00A21BDD">
        <w:rPr>
          <w:lang w:val="es-PE"/>
        </w:rPr>
        <w:t xml:space="preserve">, al punto de que el país tuvo que contratar generación flotante de emergencia por unos 250 MW. No alcanzó: entre setiembre y noviembre de 2024, los apagones escalaron hasta 12 </w:t>
      </w:r>
      <w:r>
        <w:rPr>
          <w:lang w:val="es-PE"/>
        </w:rPr>
        <w:t xml:space="preserve">o </w:t>
      </w:r>
      <w:r w:rsidRPr="00A21BDD">
        <w:rPr>
          <w:lang w:val="es-PE"/>
        </w:rPr>
        <w:t xml:space="preserve">14 horas diarias. El FMI estimó que, en el peor momento, la oferta eléctrica llegó a ubicarse alrededor de </w:t>
      </w:r>
      <w:r w:rsidR="000572D3">
        <w:rPr>
          <w:lang w:val="es-PE"/>
        </w:rPr>
        <w:t>20</w:t>
      </w:r>
      <w:r w:rsidRPr="00A21BDD">
        <w:rPr>
          <w:lang w:val="es-PE"/>
        </w:rPr>
        <w:t xml:space="preserve"> % por debajo del consumo habitual.</w:t>
      </w:r>
    </w:p>
    <w:p w14:paraId="390A73A5" w14:textId="650ED341" w:rsidR="00A37447" w:rsidRPr="00A21BDD" w:rsidRDefault="00A37447">
      <w:pPr>
        <w:keepLines/>
        <w:rPr>
          <w:lang w:val="es-PE"/>
        </w:rPr>
      </w:pPr>
      <w:r w:rsidRPr="00A21BDD">
        <w:rPr>
          <w:lang w:val="es-PE"/>
        </w:rPr>
        <w:t xml:space="preserve">El costo económico fue tangible. La economía ecuatoriana se contrajo alrededor de 2,0 % en 2024; ese retroceso no obedece únicamente a los cortes </w:t>
      </w:r>
      <w:r>
        <w:rPr>
          <w:lang w:val="es-PE"/>
        </w:rPr>
        <w:t>–</w:t>
      </w:r>
      <w:r w:rsidRPr="00A21BDD">
        <w:rPr>
          <w:lang w:val="es-PE"/>
        </w:rPr>
        <w:t>la inseguridad y la propia sequía también pesaron</w:t>
      </w:r>
      <w:r>
        <w:rPr>
          <w:lang w:val="es-PE"/>
        </w:rPr>
        <w:t>–</w:t>
      </w:r>
      <w:r w:rsidRPr="00A21BDD">
        <w:rPr>
          <w:lang w:val="es-PE"/>
        </w:rPr>
        <w:t>, pero buena parte de él se explica por la crisis energética, con semanas enteras de actividad productiva, comercial y de servicios operando a media máquina. Ecuador intentó cubrir el faltante importando electricidad de Colombia, que ese año trepó a cifras récord</w:t>
      </w:r>
      <w:r>
        <w:rPr>
          <w:lang w:val="es-PE"/>
        </w:rPr>
        <w:t>,</w:t>
      </w:r>
      <w:r w:rsidRPr="00A21BDD">
        <w:rPr>
          <w:lang w:val="es-PE"/>
        </w:rPr>
        <w:t xml:space="preserve"> pero Colombia atravesaba su propia hidrología adversa. Las interconexiones ayudan, pero no sustituyen la generación firme propia cuando la sequía golpea a toda la región al mismo tiempo. El problema de fondo no fue solo que dejó de llover, sino que no había suficiente energía firme y disponible para reemplazar el agua que faltó.</w:t>
      </w:r>
    </w:p>
    <w:p w14:paraId="61036006" w14:textId="1167B11E" w:rsidR="00A37447" w:rsidRPr="00A21BDD" w:rsidRDefault="00A37447">
      <w:pPr>
        <w:keepLines/>
        <w:rPr>
          <w:lang w:val="es-PE"/>
        </w:rPr>
      </w:pPr>
      <w:r w:rsidRPr="004B4689">
        <w:rPr>
          <w:lang w:val="es-PE"/>
        </w:rPr>
        <w:t>El recuento de estas crisis ordena los riesgos. Perú, 1992: un sistema casi enteramente hidroeléctrico, sin respaldo térmico eficiente, terminó en cuotas de consumo y compras de energía de emergencia. Colombia, 1992: había gas y había centrales, pero sin ductos hacia donde se necesitaban ni unidades disponibles, y el resultado fue casi un año de racionamiento. Ecuador, 2023-2024: dos tercios de dependencia hídrica sin generación firme que la respalde, y los apagones llegaron a 14 horas diarias con la economía en recesión. En los tres casos el detonante fue el clima; el desenlace lo decidió la matriz. Donde hubo generación firme con combustible disponible, el golpe se quedó en los precios; donde faltó, terminó en cortes. Ese es el riesgo que el gas natural, bien conectado, le quita de encima al Perú.</w:t>
      </w:r>
    </w:p>
    <w:p w14:paraId="5987B346" w14:textId="08F19AEC" w:rsidR="00A37447" w:rsidRPr="00A21BDD" w:rsidRDefault="00A37447">
      <w:pPr>
        <w:pStyle w:val="Ttulo2"/>
        <w:rPr>
          <w:lang w:val="es-PE"/>
        </w:rPr>
      </w:pPr>
      <w:bookmarkStart w:id="42" w:name="_Idx_5_4"/>
      <w:r w:rsidRPr="00A21BDD">
        <w:rPr>
          <w:lang w:val="es-PE"/>
        </w:rPr>
        <w:t xml:space="preserve">5.4. La lección del FEN 2023-2024: </w:t>
      </w:r>
      <w:r w:rsidRPr="004B4A4E">
        <w:rPr>
          <w:lang w:val="es-PE"/>
        </w:rPr>
        <w:t>el</w:t>
      </w:r>
      <w:r>
        <w:rPr>
          <w:lang w:val="es-PE"/>
        </w:rPr>
        <w:t xml:space="preserve"> uso de gas natural para respaldar la falta de agua</w:t>
      </w:r>
      <w:bookmarkEnd w:id="42"/>
    </w:p>
    <w:p w14:paraId="45F57040" w14:textId="07919280" w:rsidR="00A37447" w:rsidRPr="00A21BDD" w:rsidRDefault="00A37447">
      <w:pPr>
        <w:keepLines/>
        <w:rPr>
          <w:lang w:val="es-PE"/>
        </w:rPr>
      </w:pPr>
      <w:r w:rsidRPr="00A21BDD">
        <w:rPr>
          <w:lang w:val="es-PE"/>
        </w:rPr>
        <w:t xml:space="preserve">El episodio peruano de 2023-2024 muestra esa cadena en acción. Durante el primer semestre de 2023, mientras la sequía ya recortaba la generación hidroeléctrica, el gas natural contuvo el costo marginal en niveles manejables. A mitad de año el estiaje se profundizó: la sequía llegó a restar entre 500 y 900 MW de capacidad hídrica </w:t>
      </w:r>
      <w:r>
        <w:rPr>
          <w:lang w:val="es-PE"/>
        </w:rPr>
        <w:t>–</w:t>
      </w:r>
      <w:r w:rsidRPr="00A21BDD">
        <w:rPr>
          <w:lang w:val="es-PE"/>
        </w:rPr>
        <w:t>la central del Mantaro, la mayor del país, operó por debajo de la mitad de su potencia</w:t>
      </w:r>
      <w:r>
        <w:rPr>
          <w:lang w:val="es-PE"/>
        </w:rPr>
        <w:t>–</w:t>
      </w:r>
      <w:r w:rsidRPr="00A21BDD">
        <w:rPr>
          <w:lang w:val="es-PE"/>
        </w:rPr>
        <w:t xml:space="preserve"> y la capacidad conectada al gas dejó de alcanzar. El sistema encendió entonces el diésel. Solo en julio de 2023 se generaron cerca de 270 GWh con ese combustible, unas 200 veces lo registrado el mismo mes del año anterior, y en los días más exigidos el diésel llegó a cubrir más de un quinto de la generación. El costo marginal acompañó la escalada: de US$ 31 por MWh en enero a US$ 179 en setiembre, el nivel más alto en más de una década. Recién en diciembre, con la hidrología normalizándose, el precio volvió a su rango habitual.</w:t>
      </w:r>
    </w:p>
    <w:p w14:paraId="713ABF46" w14:textId="77777777" w:rsidR="00A37447" w:rsidRPr="00A21BDD" w:rsidRDefault="00A37447">
      <w:pPr>
        <w:spacing w:before="160"/>
        <w:jc w:val="center"/>
        <w:rPr>
          <w:lang w:val="es-PE"/>
        </w:rPr>
      </w:pPr>
      <w:r>
        <w:rPr>
          <w:noProof/>
        </w:rPr>
        <w:lastRenderedPageBreak/>
        <w:drawing>
          <wp:inline distT="0" distB="0" distL="0" distR="0" wp14:anchorId="7057EF61" wp14:editId="78875B2A">
            <wp:extent cx="4320000" cy="2681272"/>
            <wp:effectExtent l="0" t="0" r="0" b="0"/>
            <wp:docPr id="90105" name="Picture 9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94.png"/>
                    <pic:cNvPicPr/>
                  </pic:nvPicPr>
                  <pic:blipFill>
                    <a:blip r:embed="rId107"/>
                    <a:stretch>
                      <a:fillRect/>
                    </a:stretch>
                  </pic:blipFill>
                  <pic:spPr>
                    <a:xfrm>
                      <a:off x="0" y="0"/>
                      <a:ext cx="4320000" cy="2681272"/>
                    </a:xfrm>
                    <a:prstGeom prst="rect">
                      <a:avLst/>
                    </a:prstGeom>
                  </pic:spPr>
                </pic:pic>
              </a:graphicData>
            </a:graphic>
          </wp:inline>
        </w:drawing>
      </w:r>
    </w:p>
    <w:p w14:paraId="2E233DFB" w14:textId="0B2B5183" w:rsidR="00A37447" w:rsidRPr="00A21BDD" w:rsidRDefault="00A37447">
      <w:pPr>
        <w:keepLines/>
        <w:rPr>
          <w:lang w:val="es-PE"/>
        </w:rPr>
      </w:pPr>
      <w:r w:rsidRPr="00A21BDD">
        <w:rPr>
          <w:lang w:val="es-PE"/>
        </w:rPr>
        <w:t xml:space="preserve">Esa brecha no es un dato abstracto: la factura del episodio tiene estimaciones concretas. Solo el sobrecosto de combustible de las centrales del sur que operaron a diésel bordea los US$ 150 millones (cálculo de APOYO Consultoría a partir de cifras del Minem y el COES), y las estimaciones privadas del sobrecosto total para el sistema </w:t>
      </w:r>
      <w:r>
        <w:rPr>
          <w:lang w:val="es-PE"/>
        </w:rPr>
        <w:t>–</w:t>
      </w:r>
      <w:r w:rsidRPr="00A21BDD">
        <w:rPr>
          <w:lang w:val="es-PE"/>
        </w:rPr>
        <w:t>con todas las compras de electricidad valorizadas a los precios que fijó el diésel</w:t>
      </w:r>
      <w:r>
        <w:rPr>
          <w:lang w:val="es-PE"/>
        </w:rPr>
        <w:t>–</w:t>
      </w:r>
      <w:r w:rsidRPr="00A21BDD">
        <w:rPr>
          <w:lang w:val="es-PE"/>
        </w:rPr>
        <w:t xml:space="preserve"> se ubican entre US$ 2.000 y 2.500 millones. Tarde o temprano, ese costo se traslada a la tarifa que pagan los hogares y las empresas de todo el país.</w:t>
      </w:r>
    </w:p>
    <w:p w14:paraId="4F4EF0BD" w14:textId="51529087" w:rsidR="00A37447" w:rsidRDefault="00A37447">
      <w:pPr>
        <w:keepLines/>
        <w:rPr>
          <w:lang w:val="es-PE"/>
        </w:rPr>
      </w:pPr>
      <w:r>
        <w:rPr>
          <w:lang w:val="es-PE"/>
        </w:rPr>
        <w:t>El contrafactual más revelador está en el sur. Las tres centrales duales del nodo energético –Puerto Bravo, Ilo41 y la Reserva Fría de Ilo, algo más de 1.800 MW de potencia efectiva diseñados para operar con gas– fueron justamente las que generaron esa energía con diésel: 728 GWh en 2023. Conectadas al gas, esas mismas máquinas habrían despachado a una fracción del costo, y con holgura: su energía disponible en los meses críticos multiplicaba por seis lo que el sistema llegó a generar con diésel. El episodio deja así dos hechos. El gas natural amortiguó el golpe mientras estuvo disponible en el margen. Y el cuello de botella no estuvo en la falta de gas ni en la falta de centrales, sino en el transporte.</w:t>
      </w:r>
    </w:p>
    <w:p w14:paraId="384F1E05" w14:textId="77777777" w:rsidR="00A37447" w:rsidRPr="00A21BDD" w:rsidRDefault="00A37447">
      <w:pPr>
        <w:pStyle w:val="Ttulo2"/>
        <w:rPr>
          <w:lang w:val="es-PE"/>
        </w:rPr>
      </w:pPr>
      <w:bookmarkStart w:id="43" w:name="_Idx_5_5"/>
      <w:r w:rsidRPr="00A21BDD">
        <w:rPr>
          <w:lang w:val="es-PE"/>
        </w:rPr>
        <w:t>5.5. ¿Qué se puede trabajar para mitigar los incrementos de precios?</w:t>
      </w:r>
      <w:bookmarkEnd w:id="43"/>
    </w:p>
    <w:p w14:paraId="7A5D49B8" w14:textId="1F36ADCA" w:rsidR="00A37447" w:rsidRDefault="00A37447">
      <w:pPr>
        <w:keepLines/>
        <w:rPr>
          <w:lang w:val="es-PE"/>
        </w:rPr>
      </w:pPr>
      <w:r w:rsidRPr="00A21BDD">
        <w:rPr>
          <w:lang w:val="es-PE"/>
        </w:rPr>
        <w:t xml:space="preserve">El Perú tiene el recurso </w:t>
      </w:r>
      <w:r>
        <w:rPr>
          <w:lang w:val="es-PE"/>
        </w:rPr>
        <w:t>–</w:t>
      </w:r>
      <w:r w:rsidRPr="00A21BDD">
        <w:rPr>
          <w:lang w:val="es-PE"/>
        </w:rPr>
        <w:t>las reservas de gas de Camisea</w:t>
      </w:r>
      <w:r>
        <w:rPr>
          <w:lang w:val="es-PE"/>
        </w:rPr>
        <w:t>–</w:t>
      </w:r>
      <w:r w:rsidRPr="00A21BDD">
        <w:rPr>
          <w:lang w:val="es-PE"/>
        </w:rPr>
        <w:t xml:space="preserve"> y tiene la potencia de generación a gas para respaldar al sistema durante un FEN; lo que no siempre tiene es la manera de llevar ese gas hasta donde se necesita. El cuello de botella no es la disponibilidad del gas ni la capacidad instalada, sino las conexiones de transporte: sin ductos que unan el gas con las centrales, el respaldo firme queda inmovilizado. Y abastecer una central eléctrica con gas transportado en camiones no es una alternativa viable a la escala que exige el sistema: sirve para consumos pequeños, no para sostener la red en una emergencia. Por eso, prepararse para el próximo FEN pasa, ante todo, por asegurar la infraestructura de transporte de gas, un esfuerzo que se concreta en dos frentes.</w:t>
      </w:r>
    </w:p>
    <w:p w14:paraId="68A38C86" w14:textId="77777777" w:rsidR="00A37447" w:rsidRDefault="00A37447">
      <w:pPr>
        <w:rPr>
          <w:lang w:val="es-PE"/>
        </w:rPr>
      </w:pPr>
    </w:p>
    <w:p w14:paraId="2EA448D5" w14:textId="04FB9DF0" w:rsidR="00A37447" w:rsidRPr="00A21BDD" w:rsidRDefault="00A37447">
      <w:pPr>
        <w:keepLines/>
        <w:rPr>
          <w:lang w:val="es-PE"/>
        </w:rPr>
      </w:pPr>
      <w:r w:rsidRPr="00A21BDD">
        <w:rPr>
          <w:lang w:val="es-PE"/>
        </w:rPr>
        <w:lastRenderedPageBreak/>
        <w:t>El primero es mantener plenamente operativo y protegido el ducto que transporta el gas de Camisea hacia Lima y hacia las principales centrales termoeléctricas del país. Ese ducto es la columna vertebral del respaldo eléctrico: la</w:t>
      </w:r>
      <w:r w:rsidRPr="00422169">
        <w:rPr>
          <w:lang w:val="es-PE"/>
        </w:rPr>
        <w:t xml:space="preserve">s fallas registradas en el </w:t>
      </w:r>
      <w:r>
        <w:rPr>
          <w:lang w:val="es-PE"/>
        </w:rPr>
        <w:t>S</w:t>
      </w:r>
      <w:r w:rsidRPr="00422169">
        <w:rPr>
          <w:lang w:val="es-PE"/>
        </w:rPr>
        <w:t>istem</w:t>
      </w:r>
      <w:r w:rsidRPr="00A21BDD">
        <w:rPr>
          <w:lang w:val="es-PE"/>
        </w:rPr>
        <w:t xml:space="preserve">a de </w:t>
      </w:r>
      <w:r>
        <w:rPr>
          <w:lang w:val="es-PE"/>
        </w:rPr>
        <w:t>Transporte de Transportadora de Gas del Perú (</w:t>
      </w:r>
      <w:r w:rsidRPr="00A21BDD">
        <w:rPr>
          <w:lang w:val="es-PE"/>
        </w:rPr>
        <w:t>TGP</w:t>
      </w:r>
      <w:r w:rsidRPr="00422169">
        <w:rPr>
          <w:lang w:val="es-PE"/>
        </w:rPr>
        <w:t>) han dejado</w:t>
      </w:r>
      <w:r w:rsidRPr="00A21BDD">
        <w:rPr>
          <w:lang w:val="es-PE"/>
        </w:rPr>
        <w:t xml:space="preserve"> en evidencia que, cuando el transporte se interrumpe, el </w:t>
      </w:r>
      <w:r>
        <w:rPr>
          <w:lang w:val="es-PE"/>
        </w:rPr>
        <w:t>S</w:t>
      </w:r>
      <w:r w:rsidRPr="00A21BDD">
        <w:rPr>
          <w:lang w:val="es-PE"/>
        </w:rPr>
        <w:t>istema queda a merced del diésel y los precios se descontrolan. Garantizar su continuidad operativa y su capacidad es la línea de defensa más inmediata frente al próximo evento.</w:t>
      </w:r>
    </w:p>
    <w:p w14:paraId="6F8AD8D6" w14:textId="7C648FD8" w:rsidR="00A37447" w:rsidRPr="00A21BDD" w:rsidRDefault="00A37447">
      <w:pPr>
        <w:keepLines/>
        <w:rPr>
          <w:lang w:val="es-PE"/>
        </w:rPr>
      </w:pPr>
      <w:r w:rsidRPr="00A21BDD">
        <w:rPr>
          <w:lang w:val="es-PE"/>
        </w:rPr>
        <w:t xml:space="preserve">El segundo es conectar al </w:t>
      </w:r>
      <w:r>
        <w:rPr>
          <w:lang w:val="es-PE"/>
        </w:rPr>
        <w:t>S</w:t>
      </w:r>
      <w:r w:rsidRPr="00A21BDD">
        <w:rPr>
          <w:lang w:val="es-PE"/>
        </w:rPr>
        <w:t xml:space="preserve">istema de </w:t>
      </w:r>
      <w:r>
        <w:rPr>
          <w:lang w:val="es-PE"/>
        </w:rPr>
        <w:t>T</w:t>
      </w:r>
      <w:r w:rsidRPr="00A21BDD">
        <w:rPr>
          <w:lang w:val="es-PE"/>
        </w:rPr>
        <w:t xml:space="preserve">ransporte por ductos a las centrales del nodo energético del sur (Ilo y Mollendo), que hoy operan como reserva a diésel. Acercar el gas a estas centrales </w:t>
      </w:r>
      <w:r>
        <w:rPr>
          <w:lang w:val="es-PE"/>
        </w:rPr>
        <w:t>–</w:t>
      </w:r>
      <w:r w:rsidRPr="00A21BDD">
        <w:rPr>
          <w:lang w:val="es-PE"/>
        </w:rPr>
        <w:t>extendiendo los ductos o aprovechando la cercanía de la infraestructura de regasificación de la costa sur</w:t>
      </w:r>
      <w:r>
        <w:rPr>
          <w:lang w:val="es-PE"/>
        </w:rPr>
        <w:t>–</w:t>
      </w:r>
      <w:r w:rsidRPr="00A21BDD">
        <w:rPr>
          <w:lang w:val="es-PE"/>
        </w:rPr>
        <w:t xml:space="preserve"> permitiría que respalden al </w:t>
      </w:r>
      <w:r>
        <w:rPr>
          <w:lang w:val="es-PE"/>
        </w:rPr>
        <w:t>S</w:t>
      </w:r>
      <w:r w:rsidRPr="00A21BDD">
        <w:rPr>
          <w:lang w:val="es-PE"/>
        </w:rPr>
        <w:t>istema con gas natural en lugar de diésel y elevaría el margen de reserva que no depende de combustibles líquidos. La urgencia es mayor por el nuevo ciclo de inversión minera que empezaría en 2026: sumará demanda eléctrica justamente en el sur, la zona con menos respaldo firme del país.</w:t>
      </w:r>
    </w:p>
    <w:p w14:paraId="2F2B39BF" w14:textId="38EF4C94" w:rsidR="00A37447" w:rsidRPr="00A21BDD" w:rsidRDefault="00A37447">
      <w:pPr>
        <w:keepLines/>
        <w:rPr>
          <w:lang w:val="es-PE"/>
        </w:rPr>
      </w:pPr>
      <w:r w:rsidRPr="00A21BDD">
        <w:rPr>
          <w:lang w:val="es-PE"/>
        </w:rPr>
        <w:t xml:space="preserve">Mientras el ducto llega, hay una opción puente que vale la pena </w:t>
      </w:r>
      <w:r w:rsidR="00846E2E">
        <w:rPr>
          <w:lang w:val="es-PE"/>
        </w:rPr>
        <w:t>evaluar</w:t>
      </w:r>
      <w:r w:rsidRPr="00A21BDD">
        <w:rPr>
          <w:lang w:val="es-PE"/>
        </w:rPr>
        <w:t>: abastecer a esas centrales con gas natural licuado (GNL) almacenado y regasificado en el propio nodo. Las centrales de Ilo y Mollendo fueron diseñadas como duales y sus contratos contemplan la conversión a gas. La experiencia internacional muestra que las terminales flotantes de regasificación (FSRU) pueden habilitarse en uno o dos años</w:t>
      </w:r>
      <w:r>
        <w:rPr>
          <w:lang w:val="es-PE"/>
        </w:rPr>
        <w:t>,</w:t>
      </w:r>
      <w:r w:rsidRPr="00A21BDD">
        <w:rPr>
          <w:lang w:val="es-PE"/>
        </w:rPr>
        <w:t xml:space="preserve"> a una fracción del costo de un gasoducto, e incluso admiten contratos estacionales, como hace Argentina cada invierno; en el Perú ya se han planteado propuestas en esa dirección a partir del GNL de Pampa Melchorita. La opción tiene condiciones. No funciona como un tanque de emergencia ocioso: los volúmenes requeridos son de escala terminal y el costo fijo solo se justifica con un uso regular o estacional. Y exige definir el precio del GNL para el mercado interno y el mecanismo que remunere la disponibilidad. Bien estructurada, sería un puente de seguridad energética para el sur mientras maduran los proyectos definitivos de transporte.</w:t>
      </w:r>
    </w:p>
    <w:p w14:paraId="3CAD7231" w14:textId="51A54B3B" w:rsidR="00A37447" w:rsidRPr="00A21BDD" w:rsidRDefault="00A37447">
      <w:pPr>
        <w:keepLines/>
        <w:rPr>
          <w:lang w:val="es-PE"/>
        </w:rPr>
      </w:pPr>
      <w:r w:rsidRPr="00A21BDD">
        <w:rPr>
          <w:lang w:val="es-PE"/>
        </w:rPr>
        <w:t xml:space="preserve">En el fondo, el rol del gas natural frente al FEN es el de un seguro para el </w:t>
      </w:r>
      <w:r>
        <w:rPr>
          <w:lang w:val="es-PE"/>
        </w:rPr>
        <w:t>S</w:t>
      </w:r>
      <w:r w:rsidRPr="00A21BDD">
        <w:rPr>
          <w:lang w:val="es-PE"/>
        </w:rPr>
        <w:t xml:space="preserve">istema </w:t>
      </w:r>
      <w:r>
        <w:rPr>
          <w:lang w:val="es-PE"/>
        </w:rPr>
        <w:t>E</w:t>
      </w:r>
      <w:r w:rsidRPr="00A21BDD">
        <w:rPr>
          <w:lang w:val="es-PE"/>
        </w:rPr>
        <w:t xml:space="preserve">léctrico: mantiene las luces encendidas y las tarifas bajo control cuando el clima le falla al país. Es, además, un seguro plenamente compatible con la transición energética </w:t>
      </w:r>
      <w:r>
        <w:rPr>
          <w:lang w:val="es-PE"/>
        </w:rPr>
        <w:t>–</w:t>
      </w:r>
      <w:r w:rsidRPr="00A21BDD">
        <w:rPr>
          <w:lang w:val="es-PE"/>
        </w:rPr>
        <w:t>el gas respalda el crecimiento de las renovables sin sacrificar la seguridad del suministro y con menores emisiones que los combustibles líquidos a los que reemplaza</w:t>
      </w:r>
      <w:r>
        <w:rPr>
          <w:lang w:val="es-PE"/>
        </w:rPr>
        <w:t>–</w:t>
      </w:r>
      <w:r w:rsidRPr="00A21BDD">
        <w:rPr>
          <w:lang w:val="es-PE"/>
        </w:rPr>
        <w:t xml:space="preserve">. La potencia de generación ya la tenemos; lo que falta es la infraestructura para activarla cuando llegue el próximo evento. Reforzar el transporte de gas y conectar la capacidad térmica del sur es la forma más costo-efectiva de que el siguiente </w:t>
      </w:r>
      <w:r>
        <w:rPr>
          <w:lang w:val="es-PE"/>
        </w:rPr>
        <w:t>FEN</w:t>
      </w:r>
      <w:r w:rsidRPr="00A21BDD">
        <w:rPr>
          <w:lang w:val="es-PE"/>
        </w:rPr>
        <w:t xml:space="preserve"> no se convierta, una vez más, en un choque de precios para los hogares y las empresas del Perú.</w:t>
      </w:r>
    </w:p>
    <w:p w14:paraId="5C2098EE" w14:textId="77777777" w:rsidR="00B313C1" w:rsidRPr="0006069A" w:rsidRDefault="00B313C1">
      <w:pPr>
        <w:pStyle w:val="Ttulo1"/>
        <w:pageBreakBefore/>
        <w:rPr>
          <w:lang w:val="es-PE"/>
        </w:rPr>
      </w:pPr>
      <w:bookmarkStart w:id="44" w:name="_Idx_6"/>
      <w:r w:rsidRPr="0006069A">
        <w:rPr>
          <w:lang w:val="es-PE"/>
        </w:rPr>
        <w:lastRenderedPageBreak/>
        <w:t>6. Oportunidades para consolidar la masificación del gas natural en un nuevo ciclo político</w:t>
      </w:r>
      <w:bookmarkEnd w:id="44"/>
    </w:p>
    <w:p w14:paraId="6997BEC5" w14:textId="77777777" w:rsidR="00B313C1" w:rsidRPr="0006069A" w:rsidRDefault="00B313C1">
      <w:pPr>
        <w:keepLines/>
        <w:rPr>
          <w:lang w:val="es-PE"/>
        </w:rPr>
      </w:pPr>
      <w:r w:rsidRPr="0006069A">
        <w:rPr>
          <w:lang w:val="es-PE"/>
        </w:rPr>
        <w:t>El Perú inicia un nuevo periodo de gobierno con una agenda de gas natural inusualmente madura. Casi todo lo que el sector necesita para dar su siguiente salto ya está formulado: hay adendas de concesión negociadas durante años, proyectos con expediente técnico y una cartera de inversión privada que no depende del presupuesto público. Lo que falta, en la mayoría de los casos, no es diseño ni dinero: son decisiones.</w:t>
      </w:r>
    </w:p>
    <w:p w14:paraId="7D7E8360" w14:textId="77777777" w:rsidR="00B313C1" w:rsidRPr="0006069A" w:rsidRDefault="00B313C1">
      <w:pPr>
        <w:keepLines/>
        <w:rPr>
          <w:lang w:val="es-PE"/>
        </w:rPr>
      </w:pPr>
      <w:r w:rsidRPr="0006069A">
        <w:rPr>
          <w:lang w:val="es-PE"/>
        </w:rPr>
        <w:t>Esa es la oportunidad que ordena esta sección. Las propuestas se presentan de lo más rápido a lo más estructural, empezando por aquello que puede ejecutarse dentro del ciclo de gobierno que comienza</w:t>
      </w:r>
      <w:r>
        <w:rPr>
          <w:lang w:val="es-PE"/>
        </w:rPr>
        <w:t>,</w:t>
      </w:r>
      <w:r w:rsidRPr="0006069A">
        <w:rPr>
          <w:lang w:val="es-PE"/>
        </w:rPr>
        <w:t xml:space="preserve"> y avanzando luego hacia lo que exige acuerdos de más largo plazo. No se trata de una lista de pedidos del sector, sino de un conjunto de decisiones cuyo principal beneficiario es el usuario: el hogar que aún cocina con balón, la industria regional que compite con un costo de energía más alto que el de Lima y el transportista que sigue atado al precio del diésel importado.</w:t>
      </w:r>
    </w:p>
    <w:p w14:paraId="7982E4B8" w14:textId="77777777" w:rsidR="00B313C1" w:rsidRPr="0006069A" w:rsidRDefault="00B313C1">
      <w:pPr>
        <w:keepLines/>
        <w:rPr>
          <w:lang w:val="es-PE"/>
        </w:rPr>
      </w:pPr>
      <w:r w:rsidRPr="0006069A">
        <w:rPr>
          <w:lang w:val="es-PE"/>
        </w:rPr>
        <w:t>El punto de partida es alentador y desigual a la vez. Al cierre de 2025</w:t>
      </w:r>
      <w:r>
        <w:rPr>
          <w:lang w:val="es-PE"/>
        </w:rPr>
        <w:t>,</w:t>
      </w:r>
      <w:r w:rsidRPr="0006069A">
        <w:rPr>
          <w:lang w:val="es-PE"/>
        </w:rPr>
        <w:t xml:space="preserve"> el gas natural llegaba a cerca de 2,6 millones de conexiones y a uno de cada cuatro peruanos, un avance que pocos servicios públicos han logrado en dos décadas. Pero fuera de Lima y Callao la cobertura apenas bordea el 7 % de la población. La masificación no está agotada: está concentrada. Ampliarla al centro y al sur del país es, hoy, la mayor oportunidad del sector.</w:t>
      </w:r>
    </w:p>
    <w:p w14:paraId="2D8D67F2" w14:textId="77777777" w:rsidR="00B313C1" w:rsidRPr="0006069A" w:rsidRDefault="00B313C1">
      <w:pPr>
        <w:pStyle w:val="Ttulo2"/>
        <w:rPr>
          <w:lang w:val="es-PE"/>
        </w:rPr>
      </w:pPr>
      <w:bookmarkStart w:id="45" w:name="_Idx_6_1"/>
      <w:r w:rsidRPr="0006069A">
        <w:rPr>
          <w:lang w:val="es-PE"/>
        </w:rPr>
        <w:t>6.1. Ampliar la cobertura del gas natural y generar demanda</w:t>
      </w:r>
      <w:bookmarkEnd w:id="45"/>
    </w:p>
    <w:p w14:paraId="24D9878E" w14:textId="3728EE67" w:rsidR="00B313C1" w:rsidRPr="0006069A" w:rsidRDefault="00B313C1">
      <w:pPr>
        <w:keepLines/>
        <w:rPr>
          <w:lang w:val="es-PE"/>
        </w:rPr>
      </w:pPr>
      <w:r w:rsidRPr="0006069A">
        <w:rPr>
          <w:lang w:val="es-PE"/>
        </w:rPr>
        <w:t>Este primer bloque reúne las decisiones de efecto más inmediato. Son tres frentes que se refuerzan entre sí. El primero es destrabar las adendas de concesión que llevarían el gas al centro y al sur. El segundo, abrir el mercado del gas natural en dos actividades que hoy dependen del diésel, el transporte de carga y la minería. Y el tercero, corregir el diseño de la tarifa nivelada para que el precio deje de ser una barrera en las regiones. El primero amplía la infraestructura, el segundo genera la demanda que la hace viable y el tercero determina si esa demanda es económicamente posible.</w:t>
      </w:r>
    </w:p>
    <w:p w14:paraId="3149685B" w14:textId="77777777" w:rsidR="00B313C1" w:rsidRPr="0006069A" w:rsidRDefault="00B313C1">
      <w:pPr>
        <w:keepNext/>
        <w:keepLines/>
        <w:spacing w:before="280" w:after="80"/>
        <w:rPr>
          <w:lang w:val="es-PE"/>
        </w:rPr>
      </w:pPr>
      <w:r w:rsidRPr="0006069A">
        <w:rPr>
          <w:b/>
          <w:color w:val="1F3864"/>
          <w:sz w:val="24"/>
          <w:lang w:val="es-PE"/>
        </w:rPr>
        <w:t>Las adendas de concesión y la masificación del sur: una promesa aún pendiente</w:t>
      </w:r>
    </w:p>
    <w:p w14:paraId="472FCB29" w14:textId="42CCFA72" w:rsidR="00B313C1" w:rsidRDefault="00B313C1">
      <w:pPr>
        <w:keepLines/>
        <w:rPr>
          <w:lang w:val="es-PE"/>
        </w:rPr>
      </w:pPr>
      <w:r w:rsidRPr="0006069A">
        <w:rPr>
          <w:lang w:val="es-PE"/>
        </w:rPr>
        <w:t xml:space="preserve">Hay cuatro proyectos que definirán si el gas natural llega al centro y al sur del país, y al cierre de esta edición ninguno de ellos ha sido suscrito o adjudicado. Dos son adendas a contratos de concesión vigentes </w:t>
      </w:r>
      <w:r>
        <w:rPr>
          <w:lang w:val="es-PE"/>
        </w:rPr>
        <w:t>–</w:t>
      </w:r>
      <w:r w:rsidRPr="0006069A">
        <w:rPr>
          <w:lang w:val="es-PE"/>
        </w:rPr>
        <w:t>el de distribución de Cálidda y el de transporte de Transportadora de Gas del Perú</w:t>
      </w:r>
      <w:r>
        <w:rPr>
          <w:lang w:val="es-PE"/>
        </w:rPr>
        <w:t>–</w:t>
      </w:r>
      <w:r w:rsidRPr="0006069A">
        <w:rPr>
          <w:lang w:val="es-PE"/>
        </w:rPr>
        <w:t>, el tercero es el gasoducto regional del Cusco y el cuarto es la concesión de distribución del sur que hoy administra Petroperú de manera provisional. Los cuatro comparten la misma lógica: aprovechar una concesión o una infraestructura existente para atender zonas que, por sí solas, ningún operador atendería. Y los cuatro comparten también el mismo obstáculo: la demora de la decisión pública.</w:t>
      </w:r>
    </w:p>
    <w:p w14:paraId="418CBEB9" w14:textId="77777777" w:rsidR="005115FF" w:rsidRDefault="005115FF">
      <w:pPr>
        <w:rPr>
          <w:lang w:val="es-PE"/>
        </w:rPr>
      </w:pPr>
    </w:p>
    <w:p w14:paraId="0F91AC21" w14:textId="77777777" w:rsidR="00B313C1" w:rsidRPr="0006069A" w:rsidRDefault="00B313C1">
      <w:pPr>
        <w:keepNext/>
        <w:keepLines/>
        <w:spacing w:before="200" w:after="60"/>
        <w:rPr>
          <w:lang w:val="es-PE"/>
        </w:rPr>
      </w:pPr>
      <w:r w:rsidRPr="0006069A">
        <w:rPr>
          <w:b/>
          <w:color w:val="15607F"/>
          <w:sz w:val="23"/>
          <w:lang w:val="es-PE"/>
        </w:rPr>
        <w:lastRenderedPageBreak/>
        <w:t>La adenda de Cálidda: siete regiones a la espera de una firma</w:t>
      </w:r>
    </w:p>
    <w:p w14:paraId="6285255C" w14:textId="0EDCCE62" w:rsidR="00B313C1" w:rsidRPr="0006069A" w:rsidRDefault="00B313C1">
      <w:pPr>
        <w:keepLines/>
        <w:rPr>
          <w:lang w:val="es-PE"/>
        </w:rPr>
      </w:pPr>
      <w:r w:rsidRPr="0006069A">
        <w:rPr>
          <w:lang w:val="es-PE"/>
        </w:rPr>
        <w:t xml:space="preserve">Es el proyecto más avanzado y el de efecto más inmediato. La novena adenda al contrato de concesión de Lima y Callao incorpora al área de servicio los departamentos de Ucayali, Junín, Huancavelica, Ayacucho, Apurímac, Cusco y Puno </w:t>
      </w:r>
      <w:r>
        <w:rPr>
          <w:lang w:val="es-PE"/>
        </w:rPr>
        <w:t xml:space="preserve">–15 </w:t>
      </w:r>
      <w:r w:rsidRPr="0006069A">
        <w:rPr>
          <w:lang w:val="es-PE"/>
        </w:rPr>
        <w:t>localidades</w:t>
      </w:r>
      <w:r>
        <w:rPr>
          <w:lang w:val="es-PE"/>
        </w:rPr>
        <w:t>–</w:t>
      </w:r>
      <w:r w:rsidRPr="0006069A">
        <w:rPr>
          <w:lang w:val="es-PE"/>
        </w:rPr>
        <w:t xml:space="preserve"> a cambio de extender </w:t>
      </w:r>
      <w:r>
        <w:rPr>
          <w:lang w:val="es-PE"/>
        </w:rPr>
        <w:t xml:space="preserve">10 </w:t>
      </w:r>
      <w:r w:rsidRPr="0006069A">
        <w:rPr>
          <w:lang w:val="es-PE"/>
        </w:rPr>
        <w:t xml:space="preserve">años el plazo del contrato. El abastecimiento sería mayoritariamente por gas natural licuado transportado en cisternas y regasificado en destino, con dos excepciones que se conectan directamente a la producción: Huamanga, por el </w:t>
      </w:r>
      <w:r>
        <w:rPr>
          <w:lang w:val="es-PE"/>
        </w:rPr>
        <w:t>S</w:t>
      </w:r>
      <w:r w:rsidRPr="0006069A">
        <w:rPr>
          <w:lang w:val="es-PE"/>
        </w:rPr>
        <w:t xml:space="preserve">istema de </w:t>
      </w:r>
      <w:r>
        <w:rPr>
          <w:lang w:val="es-PE"/>
        </w:rPr>
        <w:t>T</w:t>
      </w:r>
      <w:r w:rsidRPr="0006069A">
        <w:rPr>
          <w:lang w:val="es-PE"/>
        </w:rPr>
        <w:t xml:space="preserve">ransporte de Camisea, y Pucallpa, Curimaná y Aguaytía, desde el </w:t>
      </w:r>
      <w:r>
        <w:rPr>
          <w:lang w:val="es-PE"/>
        </w:rPr>
        <w:t>L</w:t>
      </w:r>
      <w:r w:rsidRPr="0006069A">
        <w:rPr>
          <w:lang w:val="es-PE"/>
        </w:rPr>
        <w:t>ote 31-C de Ucayali. ProInversión estima la inversión en poco más de US$ 640 millones, y el propio contrato compromete algo más de 3.700 kilómetros de redes con capacidad para atender a unos 300 mil consumidores potenciales.</w:t>
      </w:r>
    </w:p>
    <w:p w14:paraId="28F71D2E" w14:textId="77777777" w:rsidR="00B313C1" w:rsidRPr="0006069A" w:rsidRDefault="00B313C1">
      <w:pPr>
        <w:keepLines/>
        <w:rPr>
          <w:lang w:val="es-PE"/>
        </w:rPr>
      </w:pPr>
      <w:r w:rsidRPr="0006069A">
        <w:rPr>
          <w:lang w:val="es-PE"/>
        </w:rPr>
        <w:t>Lo relevante no es el anuncio</w:t>
      </w:r>
      <w:r>
        <w:rPr>
          <w:lang w:val="es-PE"/>
        </w:rPr>
        <w:t>,</w:t>
      </w:r>
      <w:r w:rsidRPr="0006069A">
        <w:rPr>
          <w:lang w:val="es-PE"/>
        </w:rPr>
        <w:t xml:space="preserve"> sino la exigibilidad. A diferencia de otras promesas de masificación, esta tiene metas contractuales verificables: un plan de conexiones con cuatro hitos, penalidades por cada conexión faltante y una garantía de fiel cumplimiento de casi US$ 60 millones. La obligación total asciende a poco más de 200 mil usuarios conectados en un plazo de nueve años y medio desde la firma, con un primer hito cercano a las 10 mil conexiones a los tres años. Para el usuario de esas regiones, además, el contrato fija la misma tarifa de Lima y Callao.</w:t>
      </w:r>
    </w:p>
    <w:p w14:paraId="2B2730A0" w14:textId="77777777" w:rsidR="00B313C1" w:rsidRPr="0006069A" w:rsidRDefault="00B313C1">
      <w:pPr>
        <w:keepNext/>
        <w:keepLines/>
        <w:spacing w:before="240" w:after="0"/>
        <w:jc w:val="center"/>
        <w:rPr>
          <w:lang w:val="es-PE"/>
        </w:rPr>
      </w:pPr>
      <w:r w:rsidRPr="0006069A">
        <w:rPr>
          <w:b/>
          <w:color w:val="15607F"/>
          <w:sz w:val="22"/>
          <w:lang w:val="es-PE"/>
        </w:rPr>
        <w:t>PLAN DE CONEXIONES DE LA ADENDA DE CÁLIDDA</w:t>
      </w:r>
    </w:p>
    <w:p w14:paraId="19812579" w14:textId="77777777" w:rsidR="00B313C1" w:rsidRPr="0006069A" w:rsidRDefault="00B313C1">
      <w:pPr>
        <w:keepNext/>
        <w:keepLines/>
        <w:spacing w:after="80"/>
        <w:jc w:val="center"/>
        <w:rPr>
          <w:lang w:val="es-PE"/>
        </w:rPr>
      </w:pPr>
      <w:r w:rsidRPr="0006069A">
        <w:rPr>
          <w:color w:val="595959"/>
          <w:sz w:val="18"/>
          <w:lang w:val="es-PE"/>
        </w:rPr>
        <w:t>Número mínimo de consumidores conectados, por hito</w:t>
      </w:r>
    </w:p>
    <w:tbl>
      <w:tblPr>
        <w:tblStyle w:val="Tablaconcuadrcula"/>
        <w:tblW w:w="0" w:type="auto"/>
        <w:tblLayout w:type="fixed"/>
        <w:tblLook w:val="04A0" w:firstRow="1" w:lastRow="0" w:firstColumn="1" w:lastColumn="0" w:noHBand="0" w:noVBand="1"/>
      </w:tblPr>
      <w:tblGrid>
        <w:gridCol w:w="1701"/>
        <w:gridCol w:w="1701"/>
        <w:gridCol w:w="1701"/>
        <w:gridCol w:w="1701"/>
        <w:gridCol w:w="1701"/>
      </w:tblGrid>
      <w:tr w:rsidR="00855697" w14:paraId="297354CD" w14:textId="77777777">
        <w:trPr>
          <w:cantSplit/>
        </w:trPr>
        <w:tc>
          <w:tcPr>
            <w:tcW w:w="1701" w:type="dxa"/>
            <w:shd w:val="clear" w:color="auto" w:fill="15607F"/>
          </w:tcPr>
          <w:p w14:paraId="0A87410B" w14:textId="77777777" w:rsidR="00B313C1" w:rsidRDefault="00B313C1">
            <w:pPr>
              <w:keepNext/>
              <w:spacing w:before="40" w:after="40"/>
              <w:jc w:val="center"/>
            </w:pPr>
            <w:r>
              <w:rPr>
                <w:b/>
                <w:color w:val="FFFFFF"/>
                <w:sz w:val="17"/>
              </w:rPr>
              <w:t>Departamento</w:t>
            </w:r>
          </w:p>
        </w:tc>
        <w:tc>
          <w:tcPr>
            <w:tcW w:w="1701" w:type="dxa"/>
            <w:shd w:val="clear" w:color="auto" w:fill="15607F"/>
          </w:tcPr>
          <w:p w14:paraId="01D6EB50" w14:textId="77777777" w:rsidR="00B313C1" w:rsidRDefault="00B313C1">
            <w:pPr>
              <w:keepNext/>
              <w:spacing w:before="40" w:after="40"/>
              <w:jc w:val="center"/>
            </w:pPr>
            <w:r>
              <w:rPr>
                <w:b/>
                <w:color w:val="FFFFFF"/>
                <w:sz w:val="17"/>
              </w:rPr>
              <w:t>Hito 1 (36 meses)</w:t>
            </w:r>
          </w:p>
        </w:tc>
        <w:tc>
          <w:tcPr>
            <w:tcW w:w="1701" w:type="dxa"/>
            <w:shd w:val="clear" w:color="auto" w:fill="15607F"/>
          </w:tcPr>
          <w:p w14:paraId="2D0E04E6" w14:textId="77777777" w:rsidR="00B313C1" w:rsidRDefault="00B313C1">
            <w:pPr>
              <w:keepNext/>
              <w:spacing w:before="40" w:after="40"/>
              <w:jc w:val="center"/>
            </w:pPr>
            <w:r>
              <w:rPr>
                <w:b/>
                <w:color w:val="FFFFFF"/>
                <w:sz w:val="17"/>
              </w:rPr>
              <w:t>Hito 2 (60 meses)</w:t>
            </w:r>
          </w:p>
        </w:tc>
        <w:tc>
          <w:tcPr>
            <w:tcW w:w="1701" w:type="dxa"/>
            <w:shd w:val="clear" w:color="auto" w:fill="15607F"/>
          </w:tcPr>
          <w:p w14:paraId="0DDEC52D" w14:textId="77777777" w:rsidR="00B313C1" w:rsidRDefault="00B313C1">
            <w:pPr>
              <w:keepNext/>
              <w:spacing w:before="40" w:after="40"/>
              <w:jc w:val="center"/>
            </w:pPr>
            <w:r>
              <w:rPr>
                <w:b/>
                <w:color w:val="FFFFFF"/>
                <w:sz w:val="17"/>
              </w:rPr>
              <w:t>Hito 3 (90 meses)</w:t>
            </w:r>
          </w:p>
        </w:tc>
        <w:tc>
          <w:tcPr>
            <w:tcW w:w="1701" w:type="dxa"/>
            <w:shd w:val="clear" w:color="auto" w:fill="15607F"/>
          </w:tcPr>
          <w:p w14:paraId="363EFCC1" w14:textId="77777777" w:rsidR="00B313C1" w:rsidRDefault="00B313C1">
            <w:pPr>
              <w:keepNext/>
              <w:spacing w:before="40" w:after="40"/>
              <w:jc w:val="center"/>
            </w:pPr>
            <w:r>
              <w:rPr>
                <w:b/>
                <w:color w:val="FFFFFF"/>
                <w:sz w:val="17"/>
              </w:rPr>
              <w:t>Hito 4 (114 meses)</w:t>
            </w:r>
          </w:p>
        </w:tc>
      </w:tr>
      <w:tr w:rsidR="00855697" w14:paraId="3384CEF2" w14:textId="77777777">
        <w:trPr>
          <w:cantSplit/>
        </w:trPr>
        <w:tc>
          <w:tcPr>
            <w:tcW w:w="1701" w:type="dxa"/>
          </w:tcPr>
          <w:p w14:paraId="48890A66" w14:textId="77777777" w:rsidR="00B313C1" w:rsidRDefault="00B313C1">
            <w:pPr>
              <w:keepNext/>
              <w:spacing w:before="40" w:after="40"/>
              <w:jc w:val="left"/>
            </w:pPr>
            <w:r>
              <w:rPr>
                <w:sz w:val="17"/>
              </w:rPr>
              <w:t>Ucayali</w:t>
            </w:r>
          </w:p>
        </w:tc>
        <w:tc>
          <w:tcPr>
            <w:tcW w:w="1701" w:type="dxa"/>
          </w:tcPr>
          <w:p w14:paraId="4C60C14C" w14:textId="77777777" w:rsidR="00B313C1" w:rsidRDefault="00B313C1">
            <w:pPr>
              <w:keepNext/>
              <w:spacing w:before="40" w:after="40"/>
              <w:jc w:val="center"/>
            </w:pPr>
            <w:r>
              <w:rPr>
                <w:sz w:val="17"/>
              </w:rPr>
              <w:t>3.477</w:t>
            </w:r>
          </w:p>
        </w:tc>
        <w:tc>
          <w:tcPr>
            <w:tcW w:w="1701" w:type="dxa"/>
          </w:tcPr>
          <w:p w14:paraId="36E45D12" w14:textId="77777777" w:rsidR="00B313C1" w:rsidRDefault="00B313C1">
            <w:pPr>
              <w:keepNext/>
              <w:spacing w:before="40" w:after="40"/>
              <w:jc w:val="center"/>
            </w:pPr>
            <w:r>
              <w:rPr>
                <w:sz w:val="17"/>
              </w:rPr>
              <w:t>28.339</w:t>
            </w:r>
          </w:p>
        </w:tc>
        <w:tc>
          <w:tcPr>
            <w:tcW w:w="1701" w:type="dxa"/>
          </w:tcPr>
          <w:p w14:paraId="71D35AEC" w14:textId="77777777" w:rsidR="00B313C1" w:rsidRDefault="00B313C1">
            <w:pPr>
              <w:keepNext/>
              <w:spacing w:before="40" w:after="40"/>
              <w:jc w:val="center"/>
            </w:pPr>
            <w:r>
              <w:rPr>
                <w:sz w:val="17"/>
              </w:rPr>
              <w:t>31.669</w:t>
            </w:r>
          </w:p>
        </w:tc>
        <w:tc>
          <w:tcPr>
            <w:tcW w:w="1701" w:type="dxa"/>
          </w:tcPr>
          <w:p w14:paraId="5453F257" w14:textId="77777777" w:rsidR="00B313C1" w:rsidRDefault="00B313C1">
            <w:pPr>
              <w:keepNext/>
              <w:spacing w:before="40" w:after="40"/>
              <w:jc w:val="center"/>
            </w:pPr>
            <w:r>
              <w:rPr>
                <w:sz w:val="17"/>
              </w:rPr>
              <w:t>34.999</w:t>
            </w:r>
          </w:p>
        </w:tc>
      </w:tr>
      <w:tr w:rsidR="00855697" w14:paraId="4C90BB78" w14:textId="77777777">
        <w:trPr>
          <w:cantSplit/>
        </w:trPr>
        <w:tc>
          <w:tcPr>
            <w:tcW w:w="1701" w:type="dxa"/>
          </w:tcPr>
          <w:p w14:paraId="0903DD81" w14:textId="77777777" w:rsidR="00B313C1" w:rsidRDefault="00B313C1">
            <w:pPr>
              <w:keepNext/>
              <w:spacing w:before="40" w:after="40"/>
              <w:jc w:val="left"/>
            </w:pPr>
            <w:r>
              <w:rPr>
                <w:sz w:val="17"/>
              </w:rPr>
              <w:t>Cusco</w:t>
            </w:r>
          </w:p>
        </w:tc>
        <w:tc>
          <w:tcPr>
            <w:tcW w:w="1701" w:type="dxa"/>
          </w:tcPr>
          <w:p w14:paraId="74554B31" w14:textId="77777777" w:rsidR="00B313C1" w:rsidRDefault="00B313C1">
            <w:pPr>
              <w:keepNext/>
              <w:spacing w:before="40" w:after="40"/>
              <w:jc w:val="center"/>
            </w:pPr>
            <w:r>
              <w:rPr>
                <w:sz w:val="17"/>
              </w:rPr>
              <w:t>3.476</w:t>
            </w:r>
          </w:p>
        </w:tc>
        <w:tc>
          <w:tcPr>
            <w:tcW w:w="1701" w:type="dxa"/>
          </w:tcPr>
          <w:p w14:paraId="073292E3" w14:textId="77777777" w:rsidR="00B313C1" w:rsidRDefault="00B313C1">
            <w:pPr>
              <w:keepNext/>
              <w:spacing w:before="40" w:after="40"/>
              <w:jc w:val="center"/>
            </w:pPr>
            <w:r>
              <w:rPr>
                <w:sz w:val="17"/>
              </w:rPr>
              <w:t>27.124</w:t>
            </w:r>
          </w:p>
        </w:tc>
        <w:tc>
          <w:tcPr>
            <w:tcW w:w="1701" w:type="dxa"/>
          </w:tcPr>
          <w:p w14:paraId="3A39BA26" w14:textId="77777777" w:rsidR="00B313C1" w:rsidRDefault="00B313C1">
            <w:pPr>
              <w:keepNext/>
              <w:spacing w:before="40" w:after="40"/>
              <w:jc w:val="center"/>
            </w:pPr>
            <w:r>
              <w:rPr>
                <w:sz w:val="17"/>
              </w:rPr>
              <w:t>30.245</w:t>
            </w:r>
          </w:p>
        </w:tc>
        <w:tc>
          <w:tcPr>
            <w:tcW w:w="1701" w:type="dxa"/>
          </w:tcPr>
          <w:p w14:paraId="53A719AC" w14:textId="77777777" w:rsidR="00B313C1" w:rsidRDefault="00B313C1">
            <w:pPr>
              <w:keepNext/>
              <w:spacing w:before="40" w:after="40"/>
              <w:jc w:val="center"/>
            </w:pPr>
            <w:r>
              <w:rPr>
                <w:sz w:val="17"/>
              </w:rPr>
              <w:t>33.367</w:t>
            </w:r>
          </w:p>
        </w:tc>
      </w:tr>
      <w:tr w:rsidR="00855697" w14:paraId="7E0CBA03" w14:textId="77777777">
        <w:trPr>
          <w:cantSplit/>
        </w:trPr>
        <w:tc>
          <w:tcPr>
            <w:tcW w:w="1701" w:type="dxa"/>
          </w:tcPr>
          <w:p w14:paraId="6774B838" w14:textId="77777777" w:rsidR="00B313C1" w:rsidRDefault="00B313C1">
            <w:pPr>
              <w:keepNext/>
              <w:spacing w:before="40" w:after="40"/>
              <w:jc w:val="left"/>
            </w:pPr>
            <w:r>
              <w:rPr>
                <w:sz w:val="17"/>
              </w:rPr>
              <w:t>Puno</w:t>
            </w:r>
          </w:p>
        </w:tc>
        <w:tc>
          <w:tcPr>
            <w:tcW w:w="1701" w:type="dxa"/>
          </w:tcPr>
          <w:p w14:paraId="03CC1D15" w14:textId="77777777" w:rsidR="00B313C1" w:rsidRDefault="00B313C1">
            <w:pPr>
              <w:keepNext/>
              <w:spacing w:before="40" w:after="40"/>
              <w:jc w:val="center"/>
            </w:pPr>
            <w:r>
              <w:rPr>
                <w:sz w:val="17"/>
              </w:rPr>
              <w:t>1.552</w:t>
            </w:r>
          </w:p>
        </w:tc>
        <w:tc>
          <w:tcPr>
            <w:tcW w:w="1701" w:type="dxa"/>
          </w:tcPr>
          <w:p w14:paraId="48844ED9" w14:textId="77777777" w:rsidR="00B313C1" w:rsidRDefault="00B313C1">
            <w:pPr>
              <w:keepNext/>
              <w:spacing w:before="40" w:after="40"/>
              <w:jc w:val="center"/>
            </w:pPr>
            <w:r>
              <w:rPr>
                <w:sz w:val="17"/>
              </w:rPr>
              <w:t>17.997</w:t>
            </w:r>
          </w:p>
        </w:tc>
        <w:tc>
          <w:tcPr>
            <w:tcW w:w="1701" w:type="dxa"/>
          </w:tcPr>
          <w:p w14:paraId="16D1B8B8" w14:textId="77777777" w:rsidR="00B313C1" w:rsidRDefault="00B313C1">
            <w:pPr>
              <w:keepNext/>
              <w:spacing w:before="40" w:after="40"/>
              <w:jc w:val="center"/>
            </w:pPr>
            <w:r>
              <w:rPr>
                <w:sz w:val="17"/>
              </w:rPr>
              <w:t>43.736</w:t>
            </w:r>
          </w:p>
        </w:tc>
        <w:tc>
          <w:tcPr>
            <w:tcW w:w="1701" w:type="dxa"/>
          </w:tcPr>
          <w:p w14:paraId="06A8352D" w14:textId="77777777" w:rsidR="00B313C1" w:rsidRDefault="00B313C1">
            <w:pPr>
              <w:keepNext/>
              <w:spacing w:before="40" w:after="40"/>
              <w:jc w:val="center"/>
            </w:pPr>
            <w:r>
              <w:rPr>
                <w:sz w:val="17"/>
              </w:rPr>
              <w:t>52.730</w:t>
            </w:r>
          </w:p>
        </w:tc>
      </w:tr>
      <w:tr w:rsidR="00855697" w14:paraId="0D04AC6C" w14:textId="77777777">
        <w:trPr>
          <w:cantSplit/>
        </w:trPr>
        <w:tc>
          <w:tcPr>
            <w:tcW w:w="1701" w:type="dxa"/>
          </w:tcPr>
          <w:p w14:paraId="49490DE9" w14:textId="77777777" w:rsidR="00B313C1" w:rsidRDefault="00B313C1">
            <w:pPr>
              <w:keepNext/>
              <w:spacing w:before="40" w:after="40"/>
              <w:jc w:val="left"/>
            </w:pPr>
            <w:r>
              <w:rPr>
                <w:sz w:val="17"/>
              </w:rPr>
              <w:t>Ayacucho</w:t>
            </w:r>
          </w:p>
        </w:tc>
        <w:tc>
          <w:tcPr>
            <w:tcW w:w="1701" w:type="dxa"/>
          </w:tcPr>
          <w:p w14:paraId="12A77133" w14:textId="77777777" w:rsidR="00B313C1" w:rsidRDefault="00B313C1">
            <w:pPr>
              <w:keepNext/>
              <w:spacing w:before="40" w:after="40"/>
              <w:jc w:val="center"/>
            </w:pPr>
            <w:r>
              <w:rPr>
                <w:sz w:val="17"/>
              </w:rPr>
              <w:t>1.356</w:t>
            </w:r>
          </w:p>
        </w:tc>
        <w:tc>
          <w:tcPr>
            <w:tcW w:w="1701" w:type="dxa"/>
          </w:tcPr>
          <w:p w14:paraId="3CAE64EE" w14:textId="77777777" w:rsidR="00B313C1" w:rsidRDefault="00B313C1">
            <w:pPr>
              <w:keepNext/>
              <w:spacing w:before="40" w:after="40"/>
              <w:jc w:val="center"/>
            </w:pPr>
            <w:r>
              <w:rPr>
                <w:sz w:val="17"/>
              </w:rPr>
              <w:t>11.684</w:t>
            </w:r>
          </w:p>
        </w:tc>
        <w:tc>
          <w:tcPr>
            <w:tcW w:w="1701" w:type="dxa"/>
          </w:tcPr>
          <w:p w14:paraId="0962C92B" w14:textId="77777777" w:rsidR="00B313C1" w:rsidRDefault="00B313C1">
            <w:pPr>
              <w:keepNext/>
              <w:spacing w:before="40" w:after="40"/>
              <w:jc w:val="center"/>
            </w:pPr>
            <w:r>
              <w:rPr>
                <w:sz w:val="17"/>
              </w:rPr>
              <w:t>13.984</w:t>
            </w:r>
          </w:p>
        </w:tc>
        <w:tc>
          <w:tcPr>
            <w:tcW w:w="1701" w:type="dxa"/>
          </w:tcPr>
          <w:p w14:paraId="2DCC2DC5" w14:textId="77777777" w:rsidR="00B313C1" w:rsidRDefault="00B313C1">
            <w:pPr>
              <w:keepNext/>
              <w:spacing w:before="40" w:after="40"/>
              <w:jc w:val="center"/>
            </w:pPr>
            <w:r>
              <w:rPr>
                <w:sz w:val="17"/>
              </w:rPr>
              <w:t>15.654</w:t>
            </w:r>
          </w:p>
        </w:tc>
      </w:tr>
      <w:tr w:rsidR="00855697" w14:paraId="082D71B1" w14:textId="77777777">
        <w:trPr>
          <w:cantSplit/>
        </w:trPr>
        <w:tc>
          <w:tcPr>
            <w:tcW w:w="1701" w:type="dxa"/>
          </w:tcPr>
          <w:p w14:paraId="07575426" w14:textId="77777777" w:rsidR="00B313C1" w:rsidRDefault="00B313C1">
            <w:pPr>
              <w:keepNext/>
              <w:spacing w:before="40" w:after="40"/>
              <w:jc w:val="left"/>
            </w:pPr>
            <w:r>
              <w:rPr>
                <w:sz w:val="17"/>
              </w:rPr>
              <w:t>Junín</w:t>
            </w:r>
          </w:p>
        </w:tc>
        <w:tc>
          <w:tcPr>
            <w:tcW w:w="1701" w:type="dxa"/>
          </w:tcPr>
          <w:p w14:paraId="3C43F006" w14:textId="77777777" w:rsidR="00B313C1" w:rsidRDefault="00B313C1">
            <w:pPr>
              <w:keepNext/>
              <w:spacing w:before="40" w:after="40"/>
              <w:jc w:val="center"/>
            </w:pPr>
            <w:r>
              <w:rPr>
                <w:sz w:val="17"/>
              </w:rPr>
              <w:t>—</w:t>
            </w:r>
          </w:p>
        </w:tc>
        <w:tc>
          <w:tcPr>
            <w:tcW w:w="1701" w:type="dxa"/>
          </w:tcPr>
          <w:p w14:paraId="155BF531" w14:textId="77777777" w:rsidR="00B313C1" w:rsidRDefault="00B313C1">
            <w:pPr>
              <w:keepNext/>
              <w:spacing w:before="40" w:after="40"/>
              <w:jc w:val="center"/>
            </w:pPr>
            <w:r>
              <w:rPr>
                <w:sz w:val="17"/>
              </w:rPr>
              <w:t>7.717</w:t>
            </w:r>
          </w:p>
        </w:tc>
        <w:tc>
          <w:tcPr>
            <w:tcW w:w="1701" w:type="dxa"/>
          </w:tcPr>
          <w:p w14:paraId="03DA1892" w14:textId="77777777" w:rsidR="00B313C1" w:rsidRDefault="00B313C1">
            <w:pPr>
              <w:keepNext/>
              <w:spacing w:before="40" w:after="40"/>
              <w:jc w:val="center"/>
            </w:pPr>
            <w:r>
              <w:rPr>
                <w:sz w:val="17"/>
              </w:rPr>
              <w:t>37.213</w:t>
            </w:r>
          </w:p>
        </w:tc>
        <w:tc>
          <w:tcPr>
            <w:tcW w:w="1701" w:type="dxa"/>
          </w:tcPr>
          <w:p w14:paraId="60ED3C41" w14:textId="77777777" w:rsidR="00B313C1" w:rsidRDefault="00B313C1">
            <w:pPr>
              <w:keepNext/>
              <w:spacing w:before="40" w:after="40"/>
              <w:jc w:val="center"/>
            </w:pPr>
            <w:r>
              <w:rPr>
                <w:sz w:val="17"/>
              </w:rPr>
              <w:t>46.324</w:t>
            </w:r>
          </w:p>
        </w:tc>
      </w:tr>
      <w:tr w:rsidR="00855697" w14:paraId="4DBA9BEC" w14:textId="77777777">
        <w:trPr>
          <w:cantSplit/>
        </w:trPr>
        <w:tc>
          <w:tcPr>
            <w:tcW w:w="1701" w:type="dxa"/>
          </w:tcPr>
          <w:p w14:paraId="526F523D" w14:textId="77777777" w:rsidR="00B313C1" w:rsidRDefault="00B313C1">
            <w:pPr>
              <w:keepNext/>
              <w:spacing w:before="40" w:after="40"/>
              <w:jc w:val="left"/>
            </w:pPr>
            <w:r>
              <w:rPr>
                <w:sz w:val="17"/>
              </w:rPr>
              <w:t>Apurímac</w:t>
            </w:r>
          </w:p>
        </w:tc>
        <w:tc>
          <w:tcPr>
            <w:tcW w:w="1701" w:type="dxa"/>
          </w:tcPr>
          <w:p w14:paraId="13B2DE2E" w14:textId="77777777" w:rsidR="00B313C1" w:rsidRDefault="00B313C1">
            <w:pPr>
              <w:keepNext/>
              <w:spacing w:before="40" w:after="40"/>
              <w:jc w:val="center"/>
            </w:pPr>
            <w:r>
              <w:rPr>
                <w:sz w:val="17"/>
              </w:rPr>
              <w:t>—</w:t>
            </w:r>
          </w:p>
        </w:tc>
        <w:tc>
          <w:tcPr>
            <w:tcW w:w="1701" w:type="dxa"/>
          </w:tcPr>
          <w:p w14:paraId="50025364" w14:textId="77777777" w:rsidR="00B313C1" w:rsidRDefault="00B313C1">
            <w:pPr>
              <w:keepNext/>
              <w:spacing w:before="40" w:after="40"/>
              <w:jc w:val="center"/>
            </w:pPr>
            <w:r>
              <w:rPr>
                <w:sz w:val="17"/>
              </w:rPr>
              <w:t>5.799</w:t>
            </w:r>
          </w:p>
        </w:tc>
        <w:tc>
          <w:tcPr>
            <w:tcW w:w="1701" w:type="dxa"/>
          </w:tcPr>
          <w:p w14:paraId="04460484" w14:textId="77777777" w:rsidR="00B313C1" w:rsidRDefault="00B313C1">
            <w:pPr>
              <w:keepNext/>
              <w:spacing w:before="40" w:after="40"/>
              <w:jc w:val="center"/>
            </w:pPr>
            <w:r>
              <w:rPr>
                <w:sz w:val="17"/>
              </w:rPr>
              <w:t>12.322</w:t>
            </w:r>
          </w:p>
        </w:tc>
        <w:tc>
          <w:tcPr>
            <w:tcW w:w="1701" w:type="dxa"/>
          </w:tcPr>
          <w:p w14:paraId="0D27DF9F" w14:textId="77777777" w:rsidR="00B313C1" w:rsidRDefault="00B313C1">
            <w:pPr>
              <w:keepNext/>
              <w:spacing w:before="40" w:after="40"/>
              <w:jc w:val="center"/>
            </w:pPr>
            <w:r>
              <w:rPr>
                <w:sz w:val="17"/>
              </w:rPr>
              <w:t>14.497</w:t>
            </w:r>
          </w:p>
        </w:tc>
      </w:tr>
      <w:tr w:rsidR="00855697" w14:paraId="38311C87" w14:textId="77777777">
        <w:trPr>
          <w:cantSplit/>
        </w:trPr>
        <w:tc>
          <w:tcPr>
            <w:tcW w:w="1701" w:type="dxa"/>
          </w:tcPr>
          <w:p w14:paraId="0AFC7951" w14:textId="77777777" w:rsidR="00B313C1" w:rsidRDefault="00B313C1">
            <w:pPr>
              <w:keepNext/>
              <w:spacing w:before="40" w:after="40"/>
              <w:jc w:val="left"/>
            </w:pPr>
            <w:r>
              <w:rPr>
                <w:sz w:val="17"/>
              </w:rPr>
              <w:t>Huancavelica</w:t>
            </w:r>
          </w:p>
        </w:tc>
        <w:tc>
          <w:tcPr>
            <w:tcW w:w="1701" w:type="dxa"/>
          </w:tcPr>
          <w:p w14:paraId="12C6BDF8" w14:textId="77777777" w:rsidR="00B313C1" w:rsidRDefault="00B313C1">
            <w:pPr>
              <w:keepNext/>
              <w:spacing w:before="40" w:after="40"/>
              <w:jc w:val="center"/>
            </w:pPr>
            <w:r>
              <w:rPr>
                <w:sz w:val="17"/>
              </w:rPr>
              <w:t>—</w:t>
            </w:r>
          </w:p>
        </w:tc>
        <w:tc>
          <w:tcPr>
            <w:tcW w:w="1701" w:type="dxa"/>
          </w:tcPr>
          <w:p w14:paraId="6D7286A4" w14:textId="77777777" w:rsidR="00B313C1" w:rsidRDefault="00B313C1">
            <w:pPr>
              <w:keepNext/>
              <w:spacing w:before="40" w:after="40"/>
              <w:jc w:val="center"/>
            </w:pPr>
            <w:r>
              <w:rPr>
                <w:sz w:val="17"/>
              </w:rPr>
              <w:t>1.536</w:t>
            </w:r>
          </w:p>
        </w:tc>
        <w:tc>
          <w:tcPr>
            <w:tcW w:w="1701" w:type="dxa"/>
          </w:tcPr>
          <w:p w14:paraId="5DA44095" w14:textId="77777777" w:rsidR="00B313C1" w:rsidRDefault="00B313C1">
            <w:pPr>
              <w:keepNext/>
              <w:spacing w:before="40" w:after="40"/>
              <w:jc w:val="center"/>
            </w:pPr>
            <w:r>
              <w:rPr>
                <w:sz w:val="17"/>
              </w:rPr>
              <w:t>3.264</w:t>
            </w:r>
          </w:p>
        </w:tc>
        <w:tc>
          <w:tcPr>
            <w:tcW w:w="1701" w:type="dxa"/>
          </w:tcPr>
          <w:p w14:paraId="014E697A" w14:textId="77777777" w:rsidR="00B313C1" w:rsidRDefault="00B313C1">
            <w:pPr>
              <w:keepNext/>
              <w:spacing w:before="40" w:after="40"/>
              <w:jc w:val="center"/>
            </w:pPr>
            <w:r>
              <w:rPr>
                <w:sz w:val="17"/>
              </w:rPr>
              <w:t>3.840</w:t>
            </w:r>
          </w:p>
        </w:tc>
      </w:tr>
      <w:tr w:rsidR="00855697" w14:paraId="3BC2EAD2" w14:textId="77777777">
        <w:trPr>
          <w:cantSplit/>
        </w:trPr>
        <w:tc>
          <w:tcPr>
            <w:tcW w:w="1701" w:type="dxa"/>
          </w:tcPr>
          <w:p w14:paraId="4F202B27" w14:textId="77777777" w:rsidR="00B313C1" w:rsidRDefault="00B313C1">
            <w:pPr>
              <w:keepNext/>
              <w:spacing w:before="40" w:after="40"/>
              <w:jc w:val="left"/>
            </w:pPr>
            <w:r>
              <w:rPr>
                <w:b/>
                <w:sz w:val="17"/>
              </w:rPr>
              <w:t>Total</w:t>
            </w:r>
          </w:p>
        </w:tc>
        <w:tc>
          <w:tcPr>
            <w:tcW w:w="1701" w:type="dxa"/>
          </w:tcPr>
          <w:p w14:paraId="202460BF" w14:textId="77777777" w:rsidR="00B313C1" w:rsidRDefault="00B313C1">
            <w:pPr>
              <w:keepNext/>
              <w:spacing w:before="40" w:after="40"/>
              <w:jc w:val="center"/>
            </w:pPr>
            <w:r>
              <w:rPr>
                <w:b/>
                <w:sz w:val="17"/>
              </w:rPr>
              <w:t>9.861</w:t>
            </w:r>
          </w:p>
        </w:tc>
        <w:tc>
          <w:tcPr>
            <w:tcW w:w="1701" w:type="dxa"/>
          </w:tcPr>
          <w:p w14:paraId="2EA0303E" w14:textId="77777777" w:rsidR="00B313C1" w:rsidRDefault="00B313C1">
            <w:pPr>
              <w:keepNext/>
              <w:spacing w:before="40" w:after="40"/>
              <w:jc w:val="center"/>
            </w:pPr>
            <w:r>
              <w:rPr>
                <w:b/>
                <w:sz w:val="17"/>
              </w:rPr>
              <w:t>100.196</w:t>
            </w:r>
          </w:p>
        </w:tc>
        <w:tc>
          <w:tcPr>
            <w:tcW w:w="1701" w:type="dxa"/>
          </w:tcPr>
          <w:p w14:paraId="52677E7C" w14:textId="77777777" w:rsidR="00B313C1" w:rsidRDefault="00B313C1">
            <w:pPr>
              <w:keepNext/>
              <w:spacing w:before="40" w:after="40"/>
              <w:jc w:val="center"/>
            </w:pPr>
            <w:r>
              <w:rPr>
                <w:b/>
                <w:sz w:val="17"/>
              </w:rPr>
              <w:t>172.433</w:t>
            </w:r>
          </w:p>
        </w:tc>
        <w:tc>
          <w:tcPr>
            <w:tcW w:w="1701" w:type="dxa"/>
          </w:tcPr>
          <w:p w14:paraId="676C2B38" w14:textId="77777777" w:rsidR="00B313C1" w:rsidRDefault="00B313C1">
            <w:pPr>
              <w:keepNext/>
              <w:spacing w:before="40" w:after="40"/>
              <w:jc w:val="center"/>
            </w:pPr>
            <w:r>
              <w:rPr>
                <w:b/>
                <w:sz w:val="17"/>
              </w:rPr>
              <w:t>201.411</w:t>
            </w:r>
          </w:p>
        </w:tc>
      </w:tr>
    </w:tbl>
    <w:p w14:paraId="3FB74E36" w14:textId="77777777" w:rsidR="00B313C1" w:rsidRPr="0006069A" w:rsidRDefault="00B313C1">
      <w:pPr>
        <w:keepNext/>
        <w:keepLines/>
        <w:spacing w:before="80" w:after="0"/>
        <w:rPr>
          <w:lang w:val="es-PE"/>
        </w:rPr>
      </w:pPr>
      <w:r w:rsidRPr="0006069A">
        <w:rPr>
          <w:i/>
          <w:color w:val="595959"/>
          <w:sz w:val="15"/>
          <w:lang w:val="es-PE"/>
        </w:rPr>
        <w:t>Cada hito incluye a los consumidores conectados en los hitos anteriores. Los plazos se cuentan desde la suscripción de la adenda.</w:t>
      </w:r>
    </w:p>
    <w:p w14:paraId="764031E0" w14:textId="77777777" w:rsidR="00B313C1" w:rsidRPr="0006069A" w:rsidRDefault="00B313C1">
      <w:pPr>
        <w:keepLines/>
        <w:spacing w:after="200"/>
        <w:jc w:val="right"/>
        <w:rPr>
          <w:lang w:val="es-PE"/>
        </w:rPr>
      </w:pPr>
      <w:r w:rsidRPr="0006069A">
        <w:rPr>
          <w:b/>
          <w:color w:val="404040"/>
          <w:sz w:val="15"/>
          <w:lang w:val="es-PE"/>
        </w:rPr>
        <w:t>FUENTE: Propuesta de novena adenda al contrato BOOT de Cálidda (versión al 2 de mayo de 2026)</w:t>
      </w:r>
    </w:p>
    <w:p w14:paraId="17C64A6D" w14:textId="43D6CBC0" w:rsidR="00B313C1" w:rsidRDefault="00B313C1">
      <w:pPr>
        <w:keepLines/>
        <w:rPr>
          <w:lang w:val="es-PE"/>
        </w:rPr>
      </w:pPr>
      <w:r w:rsidRPr="0006069A">
        <w:rPr>
          <w:lang w:val="es-PE"/>
        </w:rPr>
        <w:t xml:space="preserve">Lo principal que ocurrió en el último año fue un cambio de reglamento. Hasta diciembre de 2025 el proyecto era jurídicamente </w:t>
      </w:r>
      <w:r w:rsidR="0083487B">
        <w:rPr>
          <w:lang w:val="es-PE"/>
        </w:rPr>
        <w:t>complejo</w:t>
      </w:r>
      <w:r w:rsidRPr="0006069A">
        <w:rPr>
          <w:lang w:val="es-PE"/>
        </w:rPr>
        <w:t xml:space="preserve">, y no por razones de ingeniería: el Reglamento de Distribución de Gas Natural por Red de Ductos obligaba a tramitar cualquier ampliación del área de concesión como si fuera una concesión nueva, excluía a las estaciones de regasificación del </w:t>
      </w:r>
      <w:r>
        <w:rPr>
          <w:lang w:val="es-PE"/>
        </w:rPr>
        <w:t>S</w:t>
      </w:r>
      <w:r w:rsidRPr="0006069A">
        <w:rPr>
          <w:lang w:val="es-PE"/>
        </w:rPr>
        <w:t xml:space="preserve">istema de </w:t>
      </w:r>
      <w:r>
        <w:rPr>
          <w:lang w:val="es-PE"/>
        </w:rPr>
        <w:t>D</w:t>
      </w:r>
      <w:r w:rsidRPr="0006069A">
        <w:rPr>
          <w:lang w:val="es-PE"/>
        </w:rPr>
        <w:t xml:space="preserve">istribución y no contemplaba ningún concepto tarifario para remunerar el transporte en cisternas. Dicho de otro modo, una concesión </w:t>
      </w:r>
      <w:r>
        <w:rPr>
          <w:lang w:val="es-PE"/>
        </w:rPr>
        <w:t>“</w:t>
      </w:r>
      <w:r w:rsidRPr="0006069A">
        <w:rPr>
          <w:lang w:val="es-PE"/>
        </w:rPr>
        <w:t>por red de ductos</w:t>
      </w:r>
      <w:r>
        <w:rPr>
          <w:lang w:val="es-PE"/>
        </w:rPr>
        <w:t>”</w:t>
      </w:r>
      <w:r w:rsidRPr="0006069A">
        <w:rPr>
          <w:lang w:val="es-PE"/>
        </w:rPr>
        <w:t xml:space="preserve"> no podía atender localidades mediante gas natural licuado ni recuperar esa inversión vía tarifa. El Decreto Supremo 023-2025-EM, publicado el 16 de diciembre de 2025</w:t>
      </w:r>
      <w:r>
        <w:rPr>
          <w:lang w:val="es-PE"/>
        </w:rPr>
        <w:t>,</w:t>
      </w:r>
      <w:r w:rsidRPr="0006069A">
        <w:rPr>
          <w:lang w:val="es-PE"/>
        </w:rPr>
        <w:t xml:space="preserve"> cuyo proyecto se prepublicó a fines de julio de ese año, levantó los tres impedimentos a la vez: incorporó la regasificación al </w:t>
      </w:r>
      <w:r>
        <w:rPr>
          <w:lang w:val="es-PE"/>
        </w:rPr>
        <w:t>S</w:t>
      </w:r>
      <w:r w:rsidRPr="0006069A">
        <w:rPr>
          <w:lang w:val="es-PE"/>
        </w:rPr>
        <w:t xml:space="preserve">istema de </w:t>
      </w:r>
      <w:r>
        <w:rPr>
          <w:lang w:val="es-PE"/>
        </w:rPr>
        <w:t>D</w:t>
      </w:r>
      <w:r w:rsidRPr="0006069A">
        <w:rPr>
          <w:lang w:val="es-PE"/>
        </w:rPr>
        <w:t>istribución, creó el margen de distribución de gas natural comprimido y licuado, y habilitó a la Dirección General de Hidrocarburos a evaluar las ampliaciones de área por la vía contractual.</w:t>
      </w:r>
    </w:p>
    <w:p w14:paraId="25ADD4C1" w14:textId="77777777" w:rsidR="0083487B" w:rsidRPr="0006069A" w:rsidRDefault="0083487B">
      <w:pPr>
        <w:rPr>
          <w:lang w:val="es-PE"/>
        </w:rPr>
      </w:pPr>
    </w:p>
    <w:p w14:paraId="2D21E861" w14:textId="642E7FAF" w:rsidR="00B313C1" w:rsidRPr="0006069A" w:rsidRDefault="00B313C1">
      <w:pPr>
        <w:keepLines/>
        <w:rPr>
          <w:lang w:val="es-PE"/>
        </w:rPr>
      </w:pPr>
      <w:r w:rsidRPr="0006069A">
        <w:rPr>
          <w:lang w:val="es-PE"/>
        </w:rPr>
        <w:lastRenderedPageBreak/>
        <w:t xml:space="preserve">Resuelto ese nudo, la discusión se desplazó a lo económico. Lo que hoy retrasa la firma es el reconocimiento de las inversiones que corresponde al concesionario por extender el servicio diez años más y, sobre todo, cómo se traslada ese reconocimiento a la tarifa. Sobre ese punto se pronunció el regulador en junio de 2026, con reparos al reconocimiento del valor contable de los activos más allá de 2033 </w:t>
      </w:r>
      <w:r>
        <w:rPr>
          <w:lang w:val="es-PE"/>
        </w:rPr>
        <w:t>–</w:t>
      </w:r>
      <w:r w:rsidRPr="0006069A">
        <w:rPr>
          <w:lang w:val="es-PE"/>
        </w:rPr>
        <w:t>pese a que ese reconocimiento está previsto en el reglamento de distribución y en el propio contrato de concesión</w:t>
      </w:r>
      <w:r>
        <w:rPr>
          <w:lang w:val="es-PE"/>
        </w:rPr>
        <w:t>–</w:t>
      </w:r>
      <w:r w:rsidRPr="0006069A">
        <w:rPr>
          <w:lang w:val="es-PE"/>
        </w:rPr>
        <w:t xml:space="preserve"> y a las metas de cobertura comprometidas. Llevar el gas a estas quince localidades cuesta más que hacerlo en Lima, y el contrato lo admite explícitamente: prevé un incremento de 27 % sobre los precios unitarios limeños para las redes y un margen de contingencia de 20 % para las estaciones de regasificación. Es la misma discusión que atraviesa todo el sector </w:t>
      </w:r>
      <w:r>
        <w:rPr>
          <w:lang w:val="es-PE"/>
        </w:rPr>
        <w:t>–</w:t>
      </w:r>
      <w:r w:rsidRPr="0006069A">
        <w:rPr>
          <w:lang w:val="es-PE"/>
        </w:rPr>
        <w:t>cómo se reconocen en tarifa las inversiones en zonas de baja densidad</w:t>
      </w:r>
      <w:r>
        <w:rPr>
          <w:lang w:val="es-PE"/>
        </w:rPr>
        <w:t>–</w:t>
      </w:r>
      <w:r w:rsidRPr="0006069A">
        <w:rPr>
          <w:lang w:val="es-PE"/>
        </w:rPr>
        <w:t xml:space="preserve"> y su resolución define no solo esta adenda, sino la disposición a invertir en las siguientes.</w:t>
      </w:r>
    </w:p>
    <w:p w14:paraId="08DC8E3C" w14:textId="77777777" w:rsidR="00B313C1" w:rsidRPr="0006069A" w:rsidRDefault="00B313C1">
      <w:pPr>
        <w:keepLines/>
        <w:rPr>
          <w:lang w:val="es-PE"/>
        </w:rPr>
      </w:pPr>
      <w:r w:rsidRPr="0006069A">
        <w:rPr>
          <w:lang w:val="es-PE"/>
        </w:rPr>
        <w:t xml:space="preserve">Mientras tanto, el calendario se corre. La firma se anunció por primera vez para abril de 2025 y desde entonces se ha reprogramado en varias oportunidades; la más reciente se explica por las observaciones del regulador. Su opinión no es vinculante, pero el ministerio optó por no remitir el expediente al Ministerio de Economía y Finanzas (MEF) ni a la Contraloría hasta absolverla: un pronunciamiento sin efecto obligatorio terminó fijando el ritmo del proceso. </w:t>
      </w:r>
      <w:r>
        <w:rPr>
          <w:lang w:val="es-PE"/>
        </w:rPr>
        <w:t>A fines de setiembre de 2026, el ministerio culminó el informe técnico final y remitió el expediente al MEF, cuya opinión es el paso previo a la suscripción, prevista para octubre.</w:t>
      </w:r>
      <w:r w:rsidRPr="0006069A">
        <w:rPr>
          <w:lang w:val="es-PE"/>
        </w:rPr>
        <w:t xml:space="preserve"> La demora tiene un costo concreto: desde la firma, las primeras conexiones tardarían alrededor de dieciséis meses en estar operativas, de modo que cada trimestre de espera se traslada íntegro al calendario de los usuarios.</w:t>
      </w:r>
    </w:p>
    <w:p w14:paraId="104941BB" w14:textId="037665E6" w:rsidR="00B313C1" w:rsidRPr="0006069A" w:rsidRDefault="560E417B">
      <w:pPr>
        <w:keepNext/>
        <w:keepLines/>
        <w:spacing w:before="200" w:after="60"/>
        <w:rPr>
          <w:lang w:val="es-PE"/>
        </w:rPr>
      </w:pPr>
      <w:r w:rsidRPr="6A75BC5D">
        <w:rPr>
          <w:b/>
          <w:bCs/>
          <w:color w:val="15607F"/>
          <w:sz w:val="23"/>
          <w:szCs w:val="23"/>
          <w:lang w:val="es-PE"/>
        </w:rPr>
        <w:t>La extensión sur de TGP: el proyecto que la deflagración</w:t>
      </w:r>
      <w:r>
        <w:rPr>
          <w:b/>
          <w:bCs/>
          <w:color w:val="15607F"/>
          <w:sz w:val="23"/>
          <w:szCs w:val="23"/>
          <w:lang w:val="es-PE"/>
        </w:rPr>
        <w:t xml:space="preserve"> en el ducto volvió a poner en debate</w:t>
      </w:r>
    </w:p>
    <w:p w14:paraId="656B63AB" w14:textId="424A4D5E" w:rsidR="00B313C1" w:rsidRPr="0006069A" w:rsidRDefault="560E417B">
      <w:pPr>
        <w:keepLines/>
        <w:rPr>
          <w:lang w:val="es-PE"/>
        </w:rPr>
      </w:pPr>
      <w:r>
        <w:rPr>
          <w:lang w:val="es-PE"/>
        </w:rPr>
        <w:t xml:space="preserve">La segunda adenda es de otra escala. Transportadora de Gas del Perú (TGP) propuso en 2024 construir un ramal costero de unos 900 kilómetros desde Humay, en Pisco, hasta Mollendo, Ilo y la ciudad de Arequipa. En enero de 2026 el Ministerio de Energía y Minas le pidió evaluar la extensión del trazado hasta Tacna, y en setiembre la empresa presentó una nueva versión que la incorpora: un ducto principal de 817 kilómetros entre Humay e Ilo, con ramales a Arequipa, Mollendo y Tacna –algo más de 1.000 kilómetros en total–, una capacidad de diseño de 346 MMpcd y una inversión cercana a los US$ 2.100 millones, íntegramente privada, a cambio de extender diez años su concesión de transporte, de 2034 a 2044. El proyecto llevaría gas por ducto al nodo energético del sur –donde operan centrales duales que en años de estrés hídrico deben quemar diésel– y abriría el mercado </w:t>
      </w:r>
      <w:r w:rsidR="6A0B28A7" w:rsidRPr="6A75BC5D">
        <w:rPr>
          <w:lang w:val="es-PE"/>
        </w:rPr>
        <w:t>de la gran</w:t>
      </w:r>
      <w:r w:rsidRPr="6A75BC5D">
        <w:rPr>
          <w:lang w:val="es-PE"/>
        </w:rPr>
        <w:t xml:space="preserve"> </w:t>
      </w:r>
      <w:r w:rsidR="2C904A55" w:rsidRPr="6A75BC5D">
        <w:rPr>
          <w:lang w:val="es-PE"/>
        </w:rPr>
        <w:t xml:space="preserve">industria </w:t>
      </w:r>
      <w:r>
        <w:rPr>
          <w:lang w:val="es-PE"/>
        </w:rPr>
        <w:t>de Arequipa, Moquegua y Tacna. La propuesta incluye, además, una tarifa especial para la industria petroquímica.</w:t>
      </w:r>
    </w:p>
    <w:p w14:paraId="63DB94ED" w14:textId="5C8A850C" w:rsidR="00B313C1" w:rsidRDefault="560E417B">
      <w:pPr>
        <w:keepLines/>
        <w:rPr>
          <w:lang w:val="es-PE"/>
        </w:rPr>
      </w:pPr>
      <w:r w:rsidRPr="6A75BC5D">
        <w:rPr>
          <w:lang w:val="es-PE"/>
        </w:rPr>
        <w:t xml:space="preserve">La </w:t>
      </w:r>
      <w:r w:rsidR="55FE3E91" w:rsidRPr="6A75BC5D">
        <w:rPr>
          <w:lang w:val="es-PE"/>
        </w:rPr>
        <w:t>deflagración</w:t>
      </w:r>
      <w:r>
        <w:rPr>
          <w:lang w:val="es-PE"/>
        </w:rPr>
        <w:t xml:space="preserve"> en el ducto, el primero de marzo de 2026, reavivó el debate sobre el proyecto, aunque no necesariamente a su favor. El país estuvo 14 días con el suministro severamente restringido y con cerca de la mitad de su generación eléctrica comprometida, y la conversación pública se desplazó desde la expansión hacia la redundancia: la pregunta dejó de ser solo hasta dónde debe llegar el Sistema de Transporte, y pasó a ser qué ocurre cuando su único ducto falla. En ese contexto, la propuesta de extensión perdió terreno político y la adenda quedó postergada en la cartera de ProInversión, sin nueva fecha. No obstante, en setiembre de 2026 TGP presentó una nueva versión que incorpora el ramal a Tacna, y la propuesta se encuentra nuevamente en evaluación en el ministerio. Atender ambas dimensiones a la vez –extensión y respaldo– es probablemente la decisión de infraestructura más importante que hereda el nuevo gobierno.</w:t>
      </w:r>
    </w:p>
    <w:p w14:paraId="3C59B5F4" w14:textId="77777777" w:rsidR="00253990" w:rsidRDefault="00253990">
      <w:pPr>
        <w:rPr>
          <w:lang w:val="es-PE"/>
        </w:rPr>
      </w:pPr>
    </w:p>
    <w:p w14:paraId="79ED20F6" w14:textId="55B29A3D" w:rsidR="00B313C1" w:rsidRPr="0006069A" w:rsidRDefault="00B313C1">
      <w:pPr>
        <w:keepLines/>
        <w:rPr>
          <w:lang w:val="es-PE"/>
        </w:rPr>
      </w:pPr>
      <w:r w:rsidRPr="0006069A">
        <w:rPr>
          <w:lang w:val="es-PE"/>
        </w:rPr>
        <w:t xml:space="preserve">La extensión costera no es, además, la única carta sobre la mesa. El Estado mantiene en formulación el Sistema Integrado de Transporte de Gas (SIT-Gas), el sucesor reformulado del Gasoducto Sur Peruano. Se trata de un proyecto de unos US$ 4.300 millones para llevar gas y líquidos de Camisea hacia Apurímac, Cusco, Puno, Arequipa, Moquegua y Tacna, al que el propio </w:t>
      </w:r>
      <w:r>
        <w:rPr>
          <w:lang w:val="es-PE"/>
        </w:rPr>
        <w:t>m</w:t>
      </w:r>
      <w:r w:rsidRPr="0006069A">
        <w:rPr>
          <w:lang w:val="es-PE"/>
        </w:rPr>
        <w:t xml:space="preserve">inisterio le asigna una doble finalidad </w:t>
      </w:r>
      <w:r>
        <w:rPr>
          <w:lang w:val="es-PE"/>
        </w:rPr>
        <w:t>–</w:t>
      </w:r>
      <w:r w:rsidRPr="0006069A">
        <w:rPr>
          <w:lang w:val="es-PE"/>
        </w:rPr>
        <w:t>dar redundancia al sistema actual y abrir una salida a nuevos desarrollos gasíferos</w:t>
      </w:r>
      <w:r>
        <w:rPr>
          <w:lang w:val="es-PE"/>
        </w:rPr>
        <w:t>–</w:t>
      </w:r>
      <w:r w:rsidRPr="0006069A">
        <w:rPr>
          <w:lang w:val="es-PE"/>
        </w:rPr>
        <w:t>. Sigue en estudios, sin licitación convocada y con una buena pro</w:t>
      </w:r>
      <w:r>
        <w:rPr>
          <w:lang w:val="es-PE"/>
        </w:rPr>
        <w:t>,</w:t>
      </w:r>
      <w:r w:rsidRPr="0006069A">
        <w:rPr>
          <w:lang w:val="es-PE"/>
        </w:rPr>
        <w:t xml:space="preserve"> que ProInversión estima para 2030, pero su sola existencia condiciona la discusión: es ahí donde el Estado depositó el problema de la redundancia que la propuesta de TGP no incluye. En paralelo, el Grupo Energía de Bogotá ha planteado </w:t>
      </w:r>
      <w:r>
        <w:rPr>
          <w:lang w:val="es-PE"/>
        </w:rPr>
        <w:t>–</w:t>
      </w:r>
      <w:r w:rsidRPr="0006069A">
        <w:rPr>
          <w:lang w:val="es-PE"/>
        </w:rPr>
        <w:t xml:space="preserve">en palabras de sus propios ejecutivos, </w:t>
      </w:r>
      <w:r>
        <w:rPr>
          <w:lang w:val="es-PE"/>
        </w:rPr>
        <w:t>“</w:t>
      </w:r>
      <w:r w:rsidRPr="0006069A">
        <w:rPr>
          <w:lang w:val="es-PE"/>
        </w:rPr>
        <w:t>a un nivel muy preliminar</w:t>
      </w:r>
      <w:r>
        <w:rPr>
          <w:lang w:val="es-PE"/>
        </w:rPr>
        <w:t>”–</w:t>
      </w:r>
      <w:r w:rsidRPr="0006069A">
        <w:rPr>
          <w:lang w:val="es-PE"/>
        </w:rPr>
        <w:t xml:space="preserve"> poner en valor el gasoducto de Contugas, que hoy termina en Ica y opera con una fracción menor de su capacidad, extendiéndolo desde Marcona hacia el sur. La idea circula desde hace años sin convertirse en expediente, pero ilustra bien el momento: hay más de una vía posible para llevar el gas por ducto al sur, y ninguna tiene todavía una decisión detrás.</w:t>
      </w:r>
    </w:p>
    <w:p w14:paraId="1916678B" w14:textId="77777777" w:rsidR="00B313C1" w:rsidRPr="0006069A" w:rsidRDefault="00B313C1">
      <w:pPr>
        <w:keepNext/>
        <w:keepLines/>
        <w:spacing w:before="200" w:after="60"/>
        <w:rPr>
          <w:lang w:val="es-PE"/>
        </w:rPr>
      </w:pPr>
      <w:r w:rsidRPr="0006069A">
        <w:rPr>
          <w:b/>
          <w:color w:val="15607F"/>
          <w:sz w:val="23"/>
          <w:lang w:val="es-PE"/>
        </w:rPr>
        <w:t>El gasoducto regional del Cusco: la pieza que falta para la licencia social</w:t>
      </w:r>
    </w:p>
    <w:p w14:paraId="0B8F01D0" w14:textId="3FD3EFA0" w:rsidR="00B313C1" w:rsidRPr="0006069A" w:rsidRDefault="00B313C1">
      <w:pPr>
        <w:keepLines/>
        <w:rPr>
          <w:lang w:val="es-PE"/>
        </w:rPr>
      </w:pPr>
      <w:r w:rsidRPr="0006069A">
        <w:rPr>
          <w:lang w:val="es-PE"/>
        </w:rPr>
        <w:t>Entrelazado con la suerte de la extensión sur está el proyecto cusqueño. Cusco produce prácticamente todo el gas del país y recibió su primera conexión domiciliaria recién en enero de 2026, en el distrito de San Jerónimo</w:t>
      </w:r>
      <w:r>
        <w:rPr>
          <w:lang w:val="es-PE"/>
        </w:rPr>
        <w:t>,</w:t>
      </w:r>
      <w:r w:rsidRPr="0006069A">
        <w:rPr>
          <w:lang w:val="es-PE"/>
        </w:rPr>
        <w:t xml:space="preserve"> y aun esa conexión no la hizo un concesionario, sino los programas del Fondo de Inclusión Social Energético, porque la región no cuenta todavía con un operador de distribución; esas redes las asumiría Cálidda cuando se firme su adenda. Esa asimetría explica buena parte de la resistencia regional a un trazado costero que no pasa por la sierra. El malestar llegó a expresarse en un paro regional en marzo de 2025, que se levantó cuando el Ejecutivo instaló una mesa técnica y anunció, semanas después, un proyecto propio: el gasoducto regional del Cusco.</w:t>
      </w:r>
    </w:p>
    <w:p w14:paraId="08453287" w14:textId="06147CCB" w:rsidR="00B313C1" w:rsidRPr="0006069A" w:rsidRDefault="00B313C1">
      <w:pPr>
        <w:keepLines/>
        <w:rPr>
          <w:lang w:val="es-PE"/>
        </w:rPr>
      </w:pPr>
      <w:r w:rsidRPr="0006069A">
        <w:rPr>
          <w:lang w:val="es-PE"/>
        </w:rPr>
        <w:t xml:space="preserve">El diseño ya está definido en sus trazos gruesos: un ducto de algo más de 300 kilómetros que nacería en el </w:t>
      </w:r>
      <w:r>
        <w:rPr>
          <w:lang w:val="es-PE"/>
        </w:rPr>
        <w:t>S</w:t>
      </w:r>
      <w:r w:rsidRPr="0006069A">
        <w:rPr>
          <w:lang w:val="es-PE"/>
        </w:rPr>
        <w:t xml:space="preserve">istema de </w:t>
      </w:r>
      <w:r>
        <w:rPr>
          <w:lang w:val="es-PE"/>
        </w:rPr>
        <w:t>T</w:t>
      </w:r>
      <w:r w:rsidRPr="0006069A">
        <w:rPr>
          <w:lang w:val="es-PE"/>
        </w:rPr>
        <w:t xml:space="preserve">ransporte de Camisea y llegaría hasta Anta, con un ramal hacia Quillabamba, complementado con una veintena de plantas satélite de regasificación para las localidades fuera del trazo, por una inversión cercana a los US$ 1.000 millones bajo el esquema de asociación público-privada cofinanciada, con ProInversión como formulador. Su avance real, en cambio, es incipiente. Al cierre de esta edición el proyecto continúa en la elaboración del estudio de perfil </w:t>
      </w:r>
      <w:r>
        <w:rPr>
          <w:lang w:val="es-PE"/>
        </w:rPr>
        <w:t>–</w:t>
      </w:r>
      <w:r w:rsidRPr="0006069A">
        <w:rPr>
          <w:lang w:val="es-PE"/>
        </w:rPr>
        <w:t>la primera etapa del ciclo de inversión</w:t>
      </w:r>
      <w:r>
        <w:rPr>
          <w:lang w:val="es-PE"/>
        </w:rPr>
        <w:t>–</w:t>
      </w:r>
      <w:r w:rsidRPr="0006069A">
        <w:rPr>
          <w:lang w:val="es-PE"/>
        </w:rPr>
        <w:t xml:space="preserve">, sin declaratoria de viabilidad, sin convocatoria y sin fecha de adjudicación. Los plazos anunciados al crearse el proyecto, que apuntaban a concursarlo en 2025 y adjudicarlo en 2026, no se cumplieron, y el propio </w:t>
      </w:r>
      <w:r>
        <w:rPr>
          <w:lang w:val="es-PE"/>
        </w:rPr>
        <w:t>G</w:t>
      </w:r>
      <w:r w:rsidRPr="0006069A">
        <w:rPr>
          <w:lang w:val="es-PE"/>
        </w:rPr>
        <w:t xml:space="preserve">obierno regional ha ido corriendo la fecha de entrega del perfil. En setiembre de 2026 el ministro del sector anunció que ProInversión daría la buena pro en el último trimestre del año, pero el proyecto no registra avances en los reportes de la agencia ni figura en su cartera. Su suerte importa más allá de la región: mientras la demanda cusqueña siga sin una respuesta visible, cualquier proyecto de infraestructura en el sur </w:t>
      </w:r>
      <w:r>
        <w:rPr>
          <w:lang w:val="es-PE"/>
        </w:rPr>
        <w:t>–</w:t>
      </w:r>
      <w:r w:rsidRPr="0006069A">
        <w:rPr>
          <w:lang w:val="es-PE"/>
        </w:rPr>
        <w:t>incluida la extensión costera</w:t>
      </w:r>
      <w:r>
        <w:rPr>
          <w:lang w:val="es-PE"/>
        </w:rPr>
        <w:t>–</w:t>
      </w:r>
      <w:r w:rsidRPr="0006069A">
        <w:rPr>
          <w:lang w:val="es-PE"/>
        </w:rPr>
        <w:t xml:space="preserve"> cargará con un problema de legitimidad que no se resuelve con ingeniería.</w:t>
      </w:r>
    </w:p>
    <w:p w14:paraId="0A3FDF12" w14:textId="77777777" w:rsidR="000470F8" w:rsidRDefault="000470F8">
      <w:pPr>
        <w:spacing w:before="200" w:after="60"/>
        <w:rPr>
          <w:b/>
          <w:color w:val="15607F"/>
          <w:sz w:val="23"/>
          <w:lang w:val="es-PE"/>
        </w:rPr>
      </w:pPr>
    </w:p>
    <w:p w14:paraId="61B00DBA" w14:textId="5830348E" w:rsidR="00B313C1" w:rsidRPr="0006069A" w:rsidRDefault="00B313C1">
      <w:pPr>
        <w:keepNext/>
        <w:keepLines/>
        <w:spacing w:before="200" w:after="60"/>
        <w:rPr>
          <w:lang w:val="es-PE"/>
        </w:rPr>
      </w:pPr>
      <w:r w:rsidRPr="0006069A">
        <w:rPr>
          <w:b/>
          <w:color w:val="15607F"/>
          <w:sz w:val="23"/>
          <w:lang w:val="es-PE"/>
        </w:rPr>
        <w:lastRenderedPageBreak/>
        <w:t>La Concesión Sur Oeste: una historia accidentada que vence en diciembre</w:t>
      </w:r>
    </w:p>
    <w:p w14:paraId="3A0B8A9D" w14:textId="735FFDCE" w:rsidR="00B313C1" w:rsidRPr="0006069A" w:rsidRDefault="00B313C1">
      <w:pPr>
        <w:keepLines/>
        <w:rPr>
          <w:lang w:val="es-PE"/>
        </w:rPr>
      </w:pPr>
      <w:r w:rsidRPr="0006069A">
        <w:rPr>
          <w:lang w:val="es-PE"/>
        </w:rPr>
        <w:t>El cuarto frente es el sur que ya existe, y su historia resume</w:t>
      </w:r>
      <w:r>
        <w:rPr>
          <w:lang w:val="es-PE"/>
        </w:rPr>
        <w:t>,</w:t>
      </w:r>
      <w:r w:rsidRPr="0006069A">
        <w:rPr>
          <w:lang w:val="es-PE"/>
        </w:rPr>
        <w:t xml:space="preserve"> como pocas</w:t>
      </w:r>
      <w:r>
        <w:rPr>
          <w:lang w:val="es-PE"/>
        </w:rPr>
        <w:t>,</w:t>
      </w:r>
      <w:r w:rsidRPr="0006069A">
        <w:rPr>
          <w:lang w:val="es-PE"/>
        </w:rPr>
        <w:t xml:space="preserve"> los tropiezos de la masificación fuera de Lima. La Concesión Sur Oeste </w:t>
      </w:r>
      <w:r>
        <w:rPr>
          <w:lang w:val="es-PE"/>
        </w:rPr>
        <w:t>–</w:t>
      </w:r>
      <w:r w:rsidRPr="0006069A">
        <w:rPr>
          <w:lang w:val="es-PE"/>
        </w:rPr>
        <w:t>Arequipa, Moquegua y Tacna</w:t>
      </w:r>
      <w:r>
        <w:rPr>
          <w:lang w:val="es-PE"/>
        </w:rPr>
        <w:t>–</w:t>
      </w:r>
      <w:r w:rsidRPr="0006069A">
        <w:rPr>
          <w:lang w:val="es-PE"/>
        </w:rPr>
        <w:t xml:space="preserve"> fue adjudicada en 2013 a Gas Natural Fenosa, la filial peruana del grupo español que luego adoptaría el nombre de Naturgy, y nació con un supuesto implícito: que tarde o temprano llegaría un gasoducto al sur y, con él, la demanda industrial y eléctrica capaz de sostener el negocio. Ese supuesto se derrumbó en 2017, cuando el Gasoducto Sur Peruano quedó paralizado con poco más de un tercio de avance. La concesionaria quedó entonces atrapada en el peor de los mundos: abastecer por cisternas, desde Melchorita, un mercado de apenas 12 mil usuarios, mayoritariamente residenciales, cuyo consumo no alcanzaba para cubrir los costos de una operación pensada para otra escala.</w:t>
      </w:r>
    </w:p>
    <w:p w14:paraId="67D16E0B" w14:textId="51002C74" w:rsidR="00B313C1" w:rsidRPr="0006069A" w:rsidRDefault="00B313C1">
      <w:pPr>
        <w:keepLines/>
        <w:rPr>
          <w:lang w:val="es-PE"/>
        </w:rPr>
      </w:pPr>
      <w:r w:rsidRPr="0006069A">
        <w:rPr>
          <w:lang w:val="es-PE"/>
        </w:rPr>
        <w:t>El desenlace fue el previsible. La empresa acumuló pérdidas hasta erosionar por completo su patrimonio, se acogió a un procedimiento concursal ante Indecopi y comunicó al Estado que no podía sostener la operación. En diciembre de 2020</w:t>
      </w:r>
      <w:r>
        <w:rPr>
          <w:lang w:val="es-PE"/>
        </w:rPr>
        <w:t>,</w:t>
      </w:r>
      <w:r w:rsidRPr="0006069A">
        <w:rPr>
          <w:lang w:val="es-PE"/>
        </w:rPr>
        <w:t xml:space="preserve"> el Gobierno declaró la caducidad de la concesión por las graves dificultades financieras del concesionario y, para no interrumpir un servicio público ya instalado, encargó la administración provisional a Petroperú, un mandato pensado como transitorio que ya ha sido prorrogado una vez. Es una historia que </w:t>
      </w:r>
      <w:r w:rsidR="000D529F">
        <w:rPr>
          <w:lang w:val="es-PE"/>
        </w:rPr>
        <w:t>vale la pena</w:t>
      </w:r>
      <w:r w:rsidRPr="0006069A">
        <w:rPr>
          <w:lang w:val="es-PE"/>
        </w:rPr>
        <w:t xml:space="preserve"> recordar al diseñar lo que viene: la concesión del sur no fracasó por falta de demanda potencial, sino porque se le exigió sostenerse sola mientras la infraestructura que debía anclarla nunca llegó.</w:t>
      </w:r>
    </w:p>
    <w:p w14:paraId="687780FF" w14:textId="4498ACC4" w:rsidR="00B313C1" w:rsidRPr="0006069A" w:rsidRDefault="00B313C1">
      <w:pPr>
        <w:keepLines/>
        <w:rPr>
          <w:lang w:val="es-PE"/>
        </w:rPr>
      </w:pPr>
      <w:r w:rsidRPr="0006069A">
        <w:rPr>
          <w:lang w:val="es-PE"/>
        </w:rPr>
        <w:t>Ese arreglo de emergencia lleva casi seis años y muestra sus costuras. La expansión de redes no la financia el operador sino el Fondo de Inclusión Social Energético, que construyó unos 150 kilómetros de redes en una primera etapa y avanza una segunda de dimensión similar; con ello</w:t>
      </w:r>
      <w:r>
        <w:rPr>
          <w:lang w:val="es-PE"/>
        </w:rPr>
        <w:t>,</w:t>
      </w:r>
      <w:r w:rsidRPr="0006069A">
        <w:rPr>
          <w:lang w:val="es-PE"/>
        </w:rPr>
        <w:t xml:space="preserve"> la concesión volvió a crecer tras varios años de retroceso, aunque desde una base muy pequeña. Pero el abastecimiento sigue dependiendo enteramente de las cisternas: cuando los huaicos cerraron la Panamericana Sur en febrero de 2026, el </w:t>
      </w:r>
      <w:r>
        <w:rPr>
          <w:lang w:val="es-PE"/>
        </w:rPr>
        <w:t>m</w:t>
      </w:r>
      <w:r w:rsidRPr="0006069A">
        <w:rPr>
          <w:lang w:val="es-PE"/>
        </w:rPr>
        <w:t>inisterio tuvo que declarar el suministro en emergencia y restringir el consumo industrial para proteger a los hogares.</w:t>
      </w:r>
    </w:p>
    <w:p w14:paraId="7DE353E0" w14:textId="77777777" w:rsidR="00B313C1" w:rsidRPr="00486573" w:rsidRDefault="00B313C1">
      <w:pPr>
        <w:keepNext/>
        <w:keepLines/>
        <w:spacing w:before="200" w:after="0"/>
        <w:jc w:val="center"/>
        <w:rPr>
          <w:lang w:val="es-PE"/>
        </w:rPr>
      </w:pPr>
      <w:r w:rsidRPr="00486573">
        <w:rPr>
          <w:b/>
          <w:color w:val="15607F"/>
          <w:sz w:val="22"/>
          <w:lang w:val="es-PE"/>
        </w:rPr>
        <w:t>LA CONCESIÓN SUR OESTE AL CIERRE DE 2025</w:t>
      </w:r>
    </w:p>
    <w:p w14:paraId="1515A76C" w14:textId="77777777" w:rsidR="00B313C1" w:rsidRDefault="00B313C1">
      <w:pPr>
        <w:keepNext/>
        <w:keepLines/>
        <w:spacing w:after="40"/>
        <w:jc w:val="center"/>
      </w:pPr>
      <w:r>
        <w:rPr>
          <w:color w:val="595959"/>
          <w:sz w:val="18"/>
        </w:rPr>
        <w:t>Principales indicadores</w:t>
      </w:r>
    </w:p>
    <w:tbl>
      <w:tblPr>
        <w:tblStyle w:val="Tablaconcuadrcula"/>
        <w:tblW w:w="0" w:type="auto"/>
        <w:tblLayout w:type="fixed"/>
        <w:tblLook w:val="04A0" w:firstRow="1" w:lastRow="0" w:firstColumn="1" w:lastColumn="0" w:noHBand="0" w:noVBand="1"/>
      </w:tblPr>
      <w:tblGrid>
        <w:gridCol w:w="5669"/>
        <w:gridCol w:w="2835"/>
      </w:tblGrid>
      <w:tr w:rsidR="00855697" w14:paraId="33128BFD" w14:textId="77777777">
        <w:trPr>
          <w:cantSplit/>
          <w:tblHeader/>
        </w:trPr>
        <w:tc>
          <w:tcPr>
            <w:tcW w:w="5669" w:type="dxa"/>
            <w:shd w:val="clear" w:color="auto" w:fill="15607F"/>
          </w:tcPr>
          <w:p w14:paraId="7AC49533" w14:textId="77777777" w:rsidR="00B313C1" w:rsidRDefault="00B313C1">
            <w:pPr>
              <w:keepNext/>
              <w:jc w:val="center"/>
            </w:pPr>
            <w:r>
              <w:rPr>
                <w:b/>
                <w:color w:val="FFFFFF"/>
                <w:sz w:val="17"/>
              </w:rPr>
              <w:t>Indicador</w:t>
            </w:r>
          </w:p>
        </w:tc>
        <w:tc>
          <w:tcPr>
            <w:tcW w:w="2835" w:type="dxa"/>
            <w:shd w:val="clear" w:color="auto" w:fill="15607F"/>
          </w:tcPr>
          <w:p w14:paraId="629CC3DB" w14:textId="77777777" w:rsidR="00B313C1" w:rsidRDefault="00B313C1">
            <w:pPr>
              <w:keepNext/>
              <w:jc w:val="center"/>
            </w:pPr>
            <w:r>
              <w:rPr>
                <w:b/>
                <w:color w:val="FFFFFF"/>
                <w:sz w:val="17"/>
              </w:rPr>
              <w:t>Valor</w:t>
            </w:r>
          </w:p>
        </w:tc>
      </w:tr>
      <w:tr w:rsidR="00855697" w14:paraId="33A3918C" w14:textId="77777777">
        <w:trPr>
          <w:cantSplit/>
        </w:trPr>
        <w:tc>
          <w:tcPr>
            <w:tcW w:w="5669" w:type="dxa"/>
          </w:tcPr>
          <w:p w14:paraId="6991442C" w14:textId="77777777" w:rsidR="00B313C1" w:rsidRDefault="00B313C1">
            <w:pPr>
              <w:keepNext/>
              <w:jc w:val="left"/>
            </w:pPr>
            <w:r>
              <w:rPr>
                <w:sz w:val="17"/>
              </w:rPr>
              <w:t>Clientes con consumo efectivo</w:t>
            </w:r>
          </w:p>
        </w:tc>
        <w:tc>
          <w:tcPr>
            <w:tcW w:w="2835" w:type="dxa"/>
          </w:tcPr>
          <w:p w14:paraId="04F12EF8" w14:textId="77777777" w:rsidR="00B313C1" w:rsidRDefault="00B313C1">
            <w:pPr>
              <w:keepNext/>
              <w:jc w:val="center"/>
            </w:pPr>
            <w:r>
              <w:rPr>
                <w:sz w:val="17"/>
              </w:rPr>
              <w:t>13.843</w:t>
            </w:r>
          </w:p>
        </w:tc>
      </w:tr>
      <w:tr w:rsidR="00855697" w14:paraId="43F2B7FA" w14:textId="77777777">
        <w:trPr>
          <w:cantSplit/>
        </w:trPr>
        <w:tc>
          <w:tcPr>
            <w:tcW w:w="5669" w:type="dxa"/>
          </w:tcPr>
          <w:p w14:paraId="25137D34" w14:textId="77777777" w:rsidR="00B313C1" w:rsidRDefault="00B313C1">
            <w:pPr>
              <w:keepNext/>
              <w:jc w:val="left"/>
            </w:pPr>
            <w:r>
              <w:rPr>
                <w:sz w:val="17"/>
              </w:rPr>
              <w:t>De ellos, clientes industriales</w:t>
            </w:r>
          </w:p>
        </w:tc>
        <w:tc>
          <w:tcPr>
            <w:tcW w:w="2835" w:type="dxa"/>
          </w:tcPr>
          <w:p w14:paraId="77B70975" w14:textId="77777777" w:rsidR="00B313C1" w:rsidRDefault="00B313C1">
            <w:pPr>
              <w:keepNext/>
              <w:jc w:val="center"/>
            </w:pPr>
            <w:r>
              <w:rPr>
                <w:sz w:val="17"/>
              </w:rPr>
              <w:t>19</w:t>
            </w:r>
          </w:p>
        </w:tc>
      </w:tr>
      <w:tr w:rsidR="00855697" w14:paraId="14A3373A" w14:textId="77777777">
        <w:trPr>
          <w:cantSplit/>
        </w:trPr>
        <w:tc>
          <w:tcPr>
            <w:tcW w:w="5669" w:type="dxa"/>
          </w:tcPr>
          <w:p w14:paraId="5188D001" w14:textId="77777777" w:rsidR="00B313C1" w:rsidRPr="00486573" w:rsidRDefault="00B313C1">
            <w:pPr>
              <w:keepNext/>
              <w:jc w:val="left"/>
              <w:rPr>
                <w:lang w:val="es-PE"/>
              </w:rPr>
            </w:pPr>
            <w:r w:rsidRPr="00486573">
              <w:rPr>
                <w:sz w:val="17"/>
                <w:lang w:val="es-PE"/>
              </w:rPr>
              <w:t>Participación de los industriales en el volumen</w:t>
            </w:r>
          </w:p>
        </w:tc>
        <w:tc>
          <w:tcPr>
            <w:tcW w:w="2835" w:type="dxa"/>
          </w:tcPr>
          <w:p w14:paraId="08A09C92" w14:textId="77777777" w:rsidR="00B313C1" w:rsidRDefault="00B313C1">
            <w:pPr>
              <w:keepNext/>
              <w:jc w:val="center"/>
            </w:pPr>
            <w:r>
              <w:rPr>
                <w:sz w:val="17"/>
              </w:rPr>
              <w:t>91 %</w:t>
            </w:r>
          </w:p>
        </w:tc>
      </w:tr>
      <w:tr w:rsidR="00855697" w14:paraId="0B99C50A" w14:textId="77777777">
        <w:trPr>
          <w:cantSplit/>
        </w:trPr>
        <w:tc>
          <w:tcPr>
            <w:tcW w:w="5669" w:type="dxa"/>
          </w:tcPr>
          <w:p w14:paraId="548A69A9" w14:textId="77777777" w:rsidR="00B313C1" w:rsidRDefault="00B313C1">
            <w:pPr>
              <w:keepNext/>
              <w:jc w:val="left"/>
            </w:pPr>
            <w:r>
              <w:rPr>
                <w:sz w:val="17"/>
              </w:rPr>
              <w:t>Cobertura sobre clientes potenciales</w:t>
            </w:r>
          </w:p>
        </w:tc>
        <w:tc>
          <w:tcPr>
            <w:tcW w:w="2835" w:type="dxa"/>
          </w:tcPr>
          <w:p w14:paraId="5D045E12" w14:textId="77777777" w:rsidR="00B313C1" w:rsidRDefault="00B313C1">
            <w:pPr>
              <w:keepNext/>
              <w:jc w:val="center"/>
            </w:pPr>
            <w:r>
              <w:rPr>
                <w:sz w:val="17"/>
              </w:rPr>
              <w:t>2 %</w:t>
            </w:r>
          </w:p>
        </w:tc>
      </w:tr>
      <w:tr w:rsidR="00855697" w14:paraId="6AB681FB" w14:textId="77777777">
        <w:trPr>
          <w:cantSplit/>
        </w:trPr>
        <w:tc>
          <w:tcPr>
            <w:tcW w:w="5669" w:type="dxa"/>
          </w:tcPr>
          <w:p w14:paraId="2528C4B6" w14:textId="77777777" w:rsidR="00B313C1" w:rsidRPr="00486573" w:rsidRDefault="00B313C1">
            <w:pPr>
              <w:keepNext/>
              <w:jc w:val="left"/>
              <w:rPr>
                <w:lang w:val="es-PE"/>
              </w:rPr>
            </w:pPr>
            <w:r w:rsidRPr="00486573">
              <w:rPr>
                <w:sz w:val="17"/>
                <w:lang w:val="es-PE"/>
              </w:rPr>
              <w:t>Kilómetros de red al cierre de 2024</w:t>
            </w:r>
          </w:p>
        </w:tc>
        <w:tc>
          <w:tcPr>
            <w:tcW w:w="2835" w:type="dxa"/>
          </w:tcPr>
          <w:p w14:paraId="280F36D0" w14:textId="77777777" w:rsidR="00B313C1" w:rsidRDefault="00B313C1">
            <w:pPr>
              <w:keepNext/>
              <w:jc w:val="center"/>
            </w:pPr>
            <w:r>
              <w:rPr>
                <w:sz w:val="17"/>
              </w:rPr>
              <w:t>545</w:t>
            </w:r>
          </w:p>
        </w:tc>
      </w:tr>
      <w:tr w:rsidR="00855697" w14:paraId="5E582A40" w14:textId="77777777">
        <w:trPr>
          <w:cantSplit/>
        </w:trPr>
        <w:tc>
          <w:tcPr>
            <w:tcW w:w="5669" w:type="dxa"/>
          </w:tcPr>
          <w:p w14:paraId="76A571C4" w14:textId="77777777" w:rsidR="00B313C1" w:rsidRPr="00486573" w:rsidRDefault="00B313C1">
            <w:pPr>
              <w:keepNext/>
              <w:jc w:val="left"/>
              <w:rPr>
                <w:lang w:val="es-PE"/>
              </w:rPr>
            </w:pPr>
            <w:r w:rsidRPr="00486573">
              <w:rPr>
                <w:sz w:val="17"/>
                <w:lang w:val="es-PE"/>
              </w:rPr>
              <w:t>Kilómetros de red al cierre de 2025</w:t>
            </w:r>
          </w:p>
        </w:tc>
        <w:tc>
          <w:tcPr>
            <w:tcW w:w="2835" w:type="dxa"/>
          </w:tcPr>
          <w:p w14:paraId="440A6882" w14:textId="77777777" w:rsidR="00B313C1" w:rsidRDefault="00B313C1">
            <w:pPr>
              <w:keepNext/>
              <w:jc w:val="center"/>
            </w:pPr>
            <w:r>
              <w:rPr>
                <w:sz w:val="17"/>
              </w:rPr>
              <w:t>545</w:t>
            </w:r>
          </w:p>
        </w:tc>
      </w:tr>
      <w:tr w:rsidR="00855697" w14:paraId="0A1538B3" w14:textId="77777777">
        <w:trPr>
          <w:cantSplit/>
        </w:trPr>
        <w:tc>
          <w:tcPr>
            <w:tcW w:w="5669" w:type="dxa"/>
          </w:tcPr>
          <w:p w14:paraId="7759D015" w14:textId="77777777" w:rsidR="00B313C1" w:rsidRDefault="00B313C1">
            <w:pPr>
              <w:keepNext/>
              <w:jc w:val="left"/>
            </w:pPr>
            <w:r>
              <w:rPr>
                <w:sz w:val="17"/>
              </w:rPr>
              <w:t>Ventas de gas natural</w:t>
            </w:r>
          </w:p>
        </w:tc>
        <w:tc>
          <w:tcPr>
            <w:tcW w:w="2835" w:type="dxa"/>
          </w:tcPr>
          <w:p w14:paraId="4B90B8FA" w14:textId="77777777" w:rsidR="00B313C1" w:rsidRDefault="00B313C1">
            <w:pPr>
              <w:keepNext/>
              <w:jc w:val="center"/>
            </w:pPr>
            <w:r>
              <w:rPr>
                <w:sz w:val="17"/>
              </w:rPr>
              <w:t>3,6 MMpcd</w:t>
            </w:r>
          </w:p>
        </w:tc>
      </w:tr>
      <w:tr w:rsidR="00855697" w14:paraId="41711A5E" w14:textId="77777777">
        <w:trPr>
          <w:cantSplit/>
        </w:trPr>
        <w:tc>
          <w:tcPr>
            <w:tcW w:w="5669" w:type="dxa"/>
          </w:tcPr>
          <w:p w14:paraId="6B2CD163" w14:textId="77777777" w:rsidR="00B313C1" w:rsidRPr="00486573" w:rsidRDefault="00B313C1">
            <w:pPr>
              <w:keepNext/>
              <w:jc w:val="left"/>
              <w:rPr>
                <w:lang w:val="es-PE"/>
              </w:rPr>
            </w:pPr>
            <w:r w:rsidRPr="00486573">
              <w:rPr>
                <w:sz w:val="17"/>
                <w:lang w:val="es-PE"/>
              </w:rPr>
              <w:t>Transferencia del Estado para operación y mantenimiento (2026)</w:t>
            </w:r>
          </w:p>
        </w:tc>
        <w:tc>
          <w:tcPr>
            <w:tcW w:w="2835" w:type="dxa"/>
          </w:tcPr>
          <w:p w14:paraId="3169C32B" w14:textId="77777777" w:rsidR="00B313C1" w:rsidRDefault="00B313C1">
            <w:pPr>
              <w:keepNext/>
              <w:jc w:val="center"/>
            </w:pPr>
            <w:r>
              <w:rPr>
                <w:sz w:val="17"/>
              </w:rPr>
              <w:t>S/ 23,0 millones</w:t>
            </w:r>
          </w:p>
        </w:tc>
      </w:tr>
    </w:tbl>
    <w:p w14:paraId="2B0D6882" w14:textId="77777777" w:rsidR="00B313C1" w:rsidRDefault="00B313C1">
      <w:pPr>
        <w:keepNext/>
        <w:spacing w:after="0"/>
      </w:pPr>
    </w:p>
    <w:p w14:paraId="3C6F0D55" w14:textId="77777777" w:rsidR="00B313C1" w:rsidRPr="00486573" w:rsidRDefault="00B313C1">
      <w:pPr>
        <w:keepNext/>
        <w:keepLines/>
        <w:spacing w:after="0"/>
        <w:rPr>
          <w:lang w:val="es-PE"/>
        </w:rPr>
      </w:pPr>
      <w:r w:rsidRPr="00486573">
        <w:rPr>
          <w:i/>
          <w:color w:val="595959"/>
          <w:sz w:val="15"/>
          <w:lang w:val="es-PE"/>
        </w:rPr>
        <w:t>La cifra de kilómetros de red es idéntica en ambos años.</w:t>
      </w:r>
    </w:p>
    <w:p w14:paraId="0B5F4202" w14:textId="77777777" w:rsidR="00B313C1" w:rsidRPr="00486573" w:rsidRDefault="00B313C1">
      <w:pPr>
        <w:keepLines/>
        <w:spacing w:after="200"/>
        <w:jc w:val="right"/>
        <w:rPr>
          <w:lang w:val="es-PE"/>
        </w:rPr>
      </w:pPr>
      <w:r w:rsidRPr="00486573">
        <w:rPr>
          <w:b/>
          <w:color w:val="404040"/>
          <w:sz w:val="15"/>
          <w:lang w:val="es-PE"/>
        </w:rPr>
        <w:t>FUENTE: Petroperú; formularios estadísticos de las empresas concesionarias; Ministerio de Energía y Minas</w:t>
      </w:r>
    </w:p>
    <w:p w14:paraId="2D51795C" w14:textId="77777777" w:rsidR="005F666C" w:rsidRDefault="005F666C">
      <w:pPr>
        <w:rPr>
          <w:lang w:val="es-PE"/>
        </w:rPr>
      </w:pPr>
    </w:p>
    <w:p w14:paraId="4B9CB125" w14:textId="22D34E66" w:rsidR="00B313C1" w:rsidRPr="0006069A" w:rsidRDefault="00B313C1">
      <w:pPr>
        <w:keepLines/>
        <w:rPr>
          <w:lang w:val="es-PE"/>
        </w:rPr>
      </w:pPr>
      <w:r w:rsidRPr="0006069A">
        <w:rPr>
          <w:lang w:val="es-PE"/>
        </w:rPr>
        <w:lastRenderedPageBreak/>
        <w:t xml:space="preserve">Lo urgente, sin embargo, es el calendario. El mandato de Petroperú vence el 19 de diciembre de 2026, mientras que la adjudicación de la nueva concesión privada </w:t>
      </w:r>
      <w:r>
        <w:rPr>
          <w:lang w:val="es-PE"/>
        </w:rPr>
        <w:t>–</w:t>
      </w:r>
      <w:r w:rsidRPr="0006069A">
        <w:rPr>
          <w:lang w:val="es-PE"/>
        </w:rPr>
        <w:t>unos US$ 236 millones de CAPEX, ya estructurada por ProInversión</w:t>
      </w:r>
      <w:r>
        <w:rPr>
          <w:lang w:val="es-PE"/>
        </w:rPr>
        <w:t>–</w:t>
      </w:r>
      <w:r w:rsidRPr="0006069A">
        <w:rPr>
          <w:lang w:val="es-PE"/>
        </w:rPr>
        <w:t xml:space="preserve"> se estima recién para el tercer trimestre de 2028. Entre una fecha y otra hay un vacío institucional que nadie ha resuelto públicamente, en un servicio que atiende hogares, comercios e industrias y que no admite interrupciones. Definir con anticipación cómo se cubre ese periodo es una decisión administrativa de bajo costo y alto impacto, y probablemente la más sencilla de todas las que reúne esta sección.</w:t>
      </w:r>
    </w:p>
    <w:p w14:paraId="332D1ECE" w14:textId="7FFE8C5E" w:rsidR="00B313C1" w:rsidRPr="0006069A" w:rsidRDefault="00B313C1">
      <w:pPr>
        <w:keepLines/>
        <w:rPr>
          <w:lang w:val="es-PE"/>
        </w:rPr>
      </w:pPr>
      <w:r w:rsidRPr="0006069A">
        <w:rPr>
          <w:lang w:val="es-PE"/>
        </w:rPr>
        <w:t xml:space="preserve">El concurso, en cambio, no se resuelve por esa vía. El propio plan de promoción advierte que reglamentar la ley de tarifa nivelada e incorporar el proyecto al </w:t>
      </w:r>
      <w:r>
        <w:rPr>
          <w:lang w:val="es-PE"/>
        </w:rPr>
        <w:t>S</w:t>
      </w:r>
      <w:r w:rsidRPr="0006069A">
        <w:rPr>
          <w:lang w:val="es-PE"/>
        </w:rPr>
        <w:t xml:space="preserve">istema de </w:t>
      </w:r>
      <w:r>
        <w:rPr>
          <w:lang w:val="es-PE"/>
        </w:rPr>
        <w:t>S</w:t>
      </w:r>
      <w:r w:rsidRPr="0006069A">
        <w:rPr>
          <w:lang w:val="es-PE"/>
        </w:rPr>
        <w:t xml:space="preserve">eguridad </w:t>
      </w:r>
      <w:r>
        <w:rPr>
          <w:lang w:val="es-PE"/>
        </w:rPr>
        <w:t>E</w:t>
      </w:r>
      <w:r w:rsidRPr="0006069A">
        <w:rPr>
          <w:lang w:val="es-PE"/>
        </w:rPr>
        <w:t xml:space="preserve">nergética son hitos previos a la convocatoria, porque de ellos dependen el esquema tarifario y la certeza de los ingresos del futuro concesionario; sin ese respaldo, señala, el proyecto no sería económicamente factible. Nada de eso se ha movido: el reglamento sigue sin aprobarse y, entre abril y agosto de 2026, la fecha estimada de adjudicación se corrió un año. Y cada año de prórroga tiene un precio. En los seis años de administración provisional el Estado ha transferido a Petroperú más de US$ 80 millones </w:t>
      </w:r>
      <w:r>
        <w:rPr>
          <w:lang w:val="es-PE"/>
        </w:rPr>
        <w:t>–</w:t>
      </w:r>
      <w:r w:rsidRPr="0006069A">
        <w:rPr>
          <w:lang w:val="es-PE"/>
        </w:rPr>
        <w:t>unos US$ 13 millones al año</w:t>
      </w:r>
      <w:r>
        <w:rPr>
          <w:lang w:val="es-PE"/>
        </w:rPr>
        <w:t>–</w:t>
      </w:r>
      <w:r w:rsidRPr="0006069A">
        <w:rPr>
          <w:lang w:val="es-PE"/>
        </w:rPr>
        <w:t xml:space="preserve"> entre la operación del servicio y la expansión de redes, y la concesión pasó de unos 12 mil a cerca de 14 mil usuarios. Todo con cargo a recursos públicos y sin metas estrictas de conexiones verificables, a diferencia de lo que exigiría un contrato de concesión.</w:t>
      </w:r>
    </w:p>
    <w:p w14:paraId="65038F3D" w14:textId="77777777" w:rsidR="00B313C1" w:rsidRPr="0006069A" w:rsidRDefault="00B313C1">
      <w:pPr>
        <w:keepLines/>
        <w:rPr>
          <w:lang w:val="es-PE"/>
        </w:rPr>
      </w:pPr>
      <w:r w:rsidRPr="0006069A">
        <w:rPr>
          <w:lang w:val="es-PE"/>
        </w:rPr>
        <w:t>Fuera de los cuatro frentes antes mencionados, existen otras oportunidades de concesiones que no se han retomado, pero que podrían encaminarse dependiendo de las señales y medidas que apruebe este Gobierno para el sector. El caso más claro es el de Tumbes, que ya fue entregado y cuya concesión caducó. Se otorgó en 2019 por veinte años, con el compromiso de conectar algo más de dieciséis mil hogares en Tumbes, Corrales, La Cruz y Zarumilla. El concesionario no alcanzó la puesta en operación comercial en el plazo previsto y, en 2024, el ministerio declaró la caducidad del contrato. Desde entonces no se ha relicitado ni sustituido por otro esquema.</w:t>
      </w:r>
    </w:p>
    <w:p w14:paraId="549AFF29" w14:textId="57F8132D" w:rsidR="00B313C1" w:rsidRPr="0006069A" w:rsidRDefault="00B313C1">
      <w:pPr>
        <w:keepLines/>
        <w:rPr>
          <w:lang w:val="es-PE"/>
        </w:rPr>
      </w:pPr>
      <w:r w:rsidRPr="0006069A">
        <w:rPr>
          <w:lang w:val="es-PE"/>
        </w:rPr>
        <w:t xml:space="preserve">La región mantiene condiciones que hacen razonable volver sobre el tema. En el noroeste sí se produce gas natural </w:t>
      </w:r>
      <w:r>
        <w:rPr>
          <w:lang w:val="es-PE"/>
        </w:rPr>
        <w:t>–</w:t>
      </w:r>
      <w:r w:rsidRPr="0006069A">
        <w:rPr>
          <w:lang w:val="es-PE"/>
        </w:rPr>
        <w:t>Tumbes y Piura cuentan con producción y con recursos por desarrollar, tanto en tierra como frente a la costa</w:t>
      </w:r>
      <w:r>
        <w:rPr>
          <w:lang w:val="es-PE"/>
        </w:rPr>
        <w:t>–</w:t>
      </w:r>
      <w:r w:rsidRPr="0006069A">
        <w:rPr>
          <w:lang w:val="es-PE"/>
        </w:rPr>
        <w:t>, de modo que una eventual concesión no dependería exclusivamente del transporte desde Camisea. Retomarla, sin embargo, exige resolver antes las mismas condiciones que hoy limitan las concesiones vigentes: previsibilidad tarifaria y un esquema de financiamiento que haga viable la conexión de hogares de menores ingresos.</w:t>
      </w:r>
    </w:p>
    <w:p w14:paraId="5CB898E0" w14:textId="77777777" w:rsidR="00EC5090" w:rsidRDefault="00EC5090">
      <w:pPr>
        <w:spacing w:before="280" w:after="80"/>
        <w:rPr>
          <w:b/>
          <w:color w:val="1F3864"/>
          <w:sz w:val="24"/>
          <w:lang w:val="es-PE"/>
        </w:rPr>
      </w:pPr>
    </w:p>
    <w:p w14:paraId="5544B19B" w14:textId="7DD3B1E1" w:rsidR="00B313C1" w:rsidRPr="0006069A" w:rsidRDefault="00B313C1">
      <w:pPr>
        <w:keepNext/>
        <w:keepLines/>
        <w:spacing w:before="280" w:after="80"/>
        <w:rPr>
          <w:lang w:val="es-PE"/>
        </w:rPr>
      </w:pPr>
      <w:r w:rsidRPr="0006069A">
        <w:rPr>
          <w:b/>
          <w:color w:val="1F3864"/>
          <w:sz w:val="24"/>
          <w:lang w:val="es-PE"/>
        </w:rPr>
        <w:lastRenderedPageBreak/>
        <w:t>El gas natural en industrias relevantes: oportunidades en minería y transporte</w:t>
      </w:r>
    </w:p>
    <w:p w14:paraId="475E66FE" w14:textId="41BAC1A4" w:rsidR="00B313C1" w:rsidRPr="0006069A" w:rsidRDefault="00B313C1">
      <w:pPr>
        <w:keepLines/>
        <w:rPr>
          <w:lang w:val="es-PE"/>
        </w:rPr>
      </w:pPr>
      <w:r w:rsidRPr="0006069A">
        <w:rPr>
          <w:lang w:val="es-PE"/>
        </w:rPr>
        <w:t xml:space="preserve">Una red de gas natural se vuelve viable cuando tiene volumen. Los hogares dan legitimidad social a la masificación, pero consumen poco: lo que paga las redes, las estaciones y las cisternas es la demanda de gran escala. Por eso, si las adendas destraban la infraestructura del centro y del sur, la pregunta siguiente es de dónde saldrá ese volumen. Dos de las principales candidatas son el transporte de carga y la minería, actividades que hoy dependen casi por completo del diésel importado y que concentran buena parte de su operación justamente en esas regiones. La oportunidad no es exclusiva de ellas </w:t>
      </w:r>
      <w:r>
        <w:rPr>
          <w:lang w:val="es-PE"/>
        </w:rPr>
        <w:t>–</w:t>
      </w:r>
      <w:r w:rsidRPr="0006069A">
        <w:rPr>
          <w:lang w:val="es-PE"/>
        </w:rPr>
        <w:t>el corredor logístico del norte ya demuestra que la carga pesada migra al gas cuando hay infraestructura–, pero es en el centro y el sur donde el potencial está más lejos de aprovecharse. Su conversión no es un beneficio lateral de la masificación: es la condición que la hace sostenible.</w:t>
      </w:r>
    </w:p>
    <w:p w14:paraId="0BA1F665" w14:textId="34A37EBB" w:rsidR="00B313C1" w:rsidRPr="0006069A" w:rsidRDefault="560E417B">
      <w:pPr>
        <w:keepNext/>
        <w:keepLines/>
        <w:spacing w:before="200" w:after="60"/>
        <w:rPr>
          <w:lang w:val="es-PE"/>
        </w:rPr>
      </w:pPr>
      <w:r w:rsidRPr="6A75BC5D">
        <w:rPr>
          <w:b/>
          <w:bCs/>
          <w:color w:val="15607F"/>
          <w:sz w:val="23"/>
          <w:szCs w:val="23"/>
          <w:lang w:val="es-PE"/>
        </w:rPr>
        <w:t>El transporte de carga: 1 % del parque usa gas natural</w:t>
      </w:r>
    </w:p>
    <w:p w14:paraId="5F76252E" w14:textId="6080B4CD" w:rsidR="00B313C1" w:rsidRPr="0006069A" w:rsidRDefault="560E417B">
      <w:pPr>
        <w:keepLines/>
        <w:rPr>
          <w:lang w:val="es-PE"/>
        </w:rPr>
      </w:pPr>
      <w:r w:rsidRPr="6A75BC5D">
        <w:rPr>
          <w:lang w:val="es-PE"/>
        </w:rPr>
        <w:t xml:space="preserve">La magnitud de lo que falta se aprecia mejor en una sola comparación. </w:t>
      </w:r>
      <w:r w:rsidR="0A8EF1A6" w:rsidRPr="6A75BC5D">
        <w:rPr>
          <w:lang w:val="es-PE"/>
        </w:rPr>
        <w:t>En el Perú circulan cerca de 300 mil camiones y tractocamiones, y solo unos 3</w:t>
      </w:r>
      <w:r w:rsidR="6112C571" w:rsidRPr="6A75BC5D">
        <w:rPr>
          <w:lang w:val="es-PE"/>
        </w:rPr>
        <w:t>.</w:t>
      </w:r>
      <w:r w:rsidR="0A8EF1A6" w:rsidRPr="6A75BC5D">
        <w:rPr>
          <w:lang w:val="es-PE"/>
        </w:rPr>
        <w:t>400 funcionan con gas natural: alrededor de 2</w:t>
      </w:r>
      <w:r w:rsidR="4589023D" w:rsidRPr="6A75BC5D">
        <w:rPr>
          <w:lang w:val="es-PE"/>
        </w:rPr>
        <w:t>.</w:t>
      </w:r>
      <w:r w:rsidR="0A8EF1A6" w:rsidRPr="6A75BC5D">
        <w:rPr>
          <w:lang w:val="es-PE"/>
        </w:rPr>
        <w:t>700</w:t>
      </w:r>
      <w:r>
        <w:rPr>
          <w:lang w:val="es-PE"/>
        </w:rPr>
        <w:t xml:space="preserve"> con gas natural comprimido y cerca de 650 con GNL, poco más del 1 % del parque. La cifra viene creciendo con fuerza –el parque a GNC aumentó 28 % en 2025 y el de GNL se quintuplicó–, pero parte de una base tan pequeña que el mercado está esencialmente por construirse</w:t>
      </w:r>
      <w:r w:rsidRPr="6A75BC5D">
        <w:rPr>
          <w:lang w:val="es-PE"/>
        </w:rPr>
        <w:t>. A ello se suma un rasgo estructural: la flota pesada peruana tiene una antigüedad promedio cercana a los dieciséis años y se renueva a un ritmo de apenas 6 % anual, y como la migración a gas natural ocurre casi siempre por la compra de unidades nuevas y no por conversión, cada año de demora es una cohorte de camiones que vuelve a comprarse a diésel.</w:t>
      </w:r>
    </w:p>
    <w:p w14:paraId="527D4128" w14:textId="09AC542B" w:rsidR="00B313C1" w:rsidRPr="0006069A" w:rsidRDefault="00B313C1">
      <w:pPr>
        <w:keepLines/>
        <w:rPr>
          <w:lang w:val="es-PE"/>
        </w:rPr>
      </w:pPr>
      <w:r w:rsidRPr="0006069A">
        <w:rPr>
          <w:lang w:val="es-PE"/>
        </w:rPr>
        <w:t>La economía del cambio, en cambio, ya está probada. Los operadores que migraron</w:t>
      </w:r>
      <w:r w:rsidR="005304B6">
        <w:rPr>
          <w:lang w:val="es-PE"/>
        </w:rPr>
        <w:t xml:space="preserve"> a GNL</w:t>
      </w:r>
      <w:r w:rsidRPr="0006069A">
        <w:rPr>
          <w:lang w:val="es-PE"/>
        </w:rPr>
        <w:t xml:space="preserve"> reportan ahorros de entre 25 % y 40 % frente al diésel </w:t>
      </w:r>
      <w:r>
        <w:rPr>
          <w:lang w:val="es-PE"/>
        </w:rPr>
        <w:t>–</w:t>
      </w:r>
      <w:r w:rsidRPr="0006069A">
        <w:rPr>
          <w:lang w:val="es-PE"/>
        </w:rPr>
        <w:t>del orden de US$ 0,37 por kilómetro frente a US$ 0,50</w:t>
      </w:r>
      <w:r>
        <w:rPr>
          <w:lang w:val="es-PE"/>
        </w:rPr>
        <w:t>–</w:t>
      </w:r>
      <w:r w:rsidRPr="0006069A">
        <w:rPr>
          <w:lang w:val="es-PE"/>
        </w:rPr>
        <w:t xml:space="preserve"> junto con reducciones cercanas al 30 % en emisiones de CO₂ y de hasta 98 % en material particulado. La mayor flota logística del país a gas natural supera ya las cien unidades, y la proyección de demanda del propio Ministerio de Energía y Minas hacia 2040 confirma que el mercado tiene hacia dónde crecer.</w:t>
      </w:r>
    </w:p>
    <w:p w14:paraId="2A398781" w14:textId="446811B0" w:rsidR="00B313C1" w:rsidRDefault="00B313C1">
      <w:pPr>
        <w:keepLines/>
        <w:rPr>
          <w:lang w:val="es-PE"/>
        </w:rPr>
      </w:pPr>
      <w:r w:rsidRPr="0006069A">
        <w:rPr>
          <w:lang w:val="es-PE"/>
        </w:rPr>
        <w:t>Hay</w:t>
      </w:r>
      <w:r>
        <w:rPr>
          <w:lang w:val="es-PE"/>
        </w:rPr>
        <w:t>,</w:t>
      </w:r>
      <w:r w:rsidRPr="0006069A">
        <w:rPr>
          <w:lang w:val="es-PE"/>
        </w:rPr>
        <w:t xml:space="preserve"> además</w:t>
      </w:r>
      <w:r>
        <w:rPr>
          <w:lang w:val="es-PE"/>
        </w:rPr>
        <w:t>,</w:t>
      </w:r>
      <w:r w:rsidRPr="0006069A">
        <w:rPr>
          <w:lang w:val="es-PE"/>
        </w:rPr>
        <w:t xml:space="preserve"> un argumento de resiliencia que la coyuntura volvió tangible. Durante la crisis de suministro de comienzos de 2026 el precio mayorista del diésel subió cerca de 30 % en la primera semana, con alzas mayores en los grifos y episodios de desabastecimiento, mientras el del gas natural licuado se mantuvo estable: el almacenamiento criogénico en estación amortiguó el corte por cerca de dos semanas, aunque en última instancia esas estaciones también dependen del mismo </w:t>
      </w:r>
      <w:r>
        <w:rPr>
          <w:lang w:val="es-PE"/>
        </w:rPr>
        <w:t>S</w:t>
      </w:r>
      <w:r w:rsidRPr="0006069A">
        <w:rPr>
          <w:lang w:val="es-PE"/>
        </w:rPr>
        <w:t xml:space="preserve">istema de </w:t>
      </w:r>
      <w:r>
        <w:rPr>
          <w:lang w:val="es-PE"/>
        </w:rPr>
        <w:t>T</w:t>
      </w:r>
      <w:r w:rsidRPr="0006069A">
        <w:rPr>
          <w:lang w:val="es-PE"/>
        </w:rPr>
        <w:t>ransporte que alimenta la planta de licuefacción de Pampa Melchorita. Para una actividad donde el combustible pesa alrededor de la mitad de la estructura de costos, ese margen de maniobra no es menor.</w:t>
      </w:r>
    </w:p>
    <w:p w14:paraId="690830A2" w14:textId="77777777" w:rsidR="007A01B9" w:rsidRDefault="007A01B9">
      <w:pPr>
        <w:rPr>
          <w:lang w:val="es-PE"/>
        </w:rPr>
      </w:pPr>
    </w:p>
    <w:p w14:paraId="7C102FE2" w14:textId="77777777" w:rsidR="00B313C1" w:rsidRPr="0006069A" w:rsidRDefault="00B313C1">
      <w:pPr>
        <w:keepNext/>
        <w:keepLines/>
        <w:spacing w:before="200" w:after="60"/>
        <w:rPr>
          <w:lang w:val="es-PE"/>
        </w:rPr>
      </w:pPr>
      <w:r w:rsidRPr="0006069A">
        <w:rPr>
          <w:b/>
          <w:color w:val="15607F"/>
          <w:sz w:val="23"/>
          <w:lang w:val="es-PE"/>
        </w:rPr>
        <w:lastRenderedPageBreak/>
        <w:t>Los corredores: la costa cubierta, la sierra todavía por cubrir</w:t>
      </w:r>
    </w:p>
    <w:p w14:paraId="1409F102" w14:textId="677B6E1E" w:rsidR="00B313C1" w:rsidRPr="0006069A" w:rsidRDefault="00B313C1">
      <w:pPr>
        <w:keepLines/>
        <w:rPr>
          <w:lang w:val="es-PE"/>
        </w:rPr>
      </w:pPr>
      <w:r w:rsidRPr="0006069A">
        <w:rPr>
          <w:lang w:val="es-PE"/>
        </w:rPr>
        <w:t xml:space="preserve">La migración se ordenó alrededor de corredores: redes privadas de estaciones de carga espaciadas a lo largo de una ruta troncal. El corredor del norte, impulsado por Promigas y Quavii junto con Cálidda entre Lima y Chiclayo, pasó de unos doscientos camiones en su primer año a 245 vehículos </w:t>
      </w:r>
      <w:r>
        <w:rPr>
          <w:lang w:val="es-PE"/>
        </w:rPr>
        <w:t xml:space="preserve">que </w:t>
      </w:r>
      <w:r w:rsidRPr="0006069A">
        <w:rPr>
          <w:lang w:val="es-PE"/>
        </w:rPr>
        <w:t>cargan gas natural licuado de manera regular a comienzos de 2026. En el sur, el corredor promovido por el Consorcio Camisea articula puntos de carga entre Lima y el altiplano, y en abril de 2026 un tercer operador amplió su red a doce estaciones. El resultado es un mapa nítido: la costa está cubierta y la sierra central y el sureste no lo están.</w:t>
      </w:r>
    </w:p>
    <w:p w14:paraId="5C6F8F99" w14:textId="77777777" w:rsidR="00B313C1" w:rsidRPr="0006069A" w:rsidRDefault="00B313C1">
      <w:pPr>
        <w:keepLines/>
        <w:rPr>
          <w:lang w:val="es-PE"/>
        </w:rPr>
      </w:pPr>
      <w:r w:rsidRPr="0006069A">
        <w:rPr>
          <w:lang w:val="es-PE"/>
        </w:rPr>
        <w:t>Ese vacío coincide, casi punto por punto, con la ruta por la que viajan los alimentos del país. En 2024 ingresaron al principal mercado mayorista de Lima cerca de 2,7 millones de toneladas de alimentos en unos 300 mil vehículos. Más de un tercio de ese volumen proviene de regiones cuya única salida hacia la capital son la Carretera Central y la vía Los Libertadores, corredores que hoy no tienen una sola estación de gas natural licuado. Junín, primer abastecedor no limeño del mercado, cuenta con una única estación de gas vehicular en todo el departamento; Ayacucho, Apurímac, Huancavelica y Puno no registran ninguna. Llevar el gas natural a esos ejes no solo abarata el flete: incide sobre el costo de los alimentos que consumen las ciudades de la costa.</w:t>
      </w:r>
    </w:p>
    <w:p w14:paraId="0611A41C" w14:textId="053C654B" w:rsidR="00B313C1" w:rsidRDefault="00B313C1">
      <w:pPr>
        <w:keepNext/>
        <w:spacing w:before="160"/>
        <w:jc w:val="center"/>
      </w:pPr>
      <w:r>
        <w:rPr>
          <w:noProof/>
        </w:rPr>
        <w:drawing>
          <wp:inline distT="0" distB="0" distL="0" distR="0" wp14:anchorId="7BC14F11" wp14:editId="42034646">
            <wp:extent cx="4320000" cy="3250846"/>
            <wp:effectExtent l="0" t="0" r="0" b="0"/>
            <wp:docPr id="2110891831" name="Imagen 211089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95.png"/>
                    <pic:cNvPicPr/>
                  </pic:nvPicPr>
                  <pic:blipFill>
                    <a:blip r:embed="rId108"/>
                    <a:stretch>
                      <a:fillRect/>
                    </a:stretch>
                  </pic:blipFill>
                  <pic:spPr>
                    <a:xfrm>
                      <a:off x="0" y="0"/>
                      <a:ext cx="4320000" cy="3250846"/>
                    </a:xfrm>
                    <a:prstGeom prst="rect">
                      <a:avLst/>
                    </a:prstGeom>
                  </pic:spPr>
                </pic:pic>
              </a:graphicData>
            </a:graphic>
          </wp:inline>
        </w:drawing>
      </w:r>
    </w:p>
    <w:p w14:paraId="040E176C" w14:textId="111D695C" w:rsidR="00B313C1" w:rsidRDefault="00B313C1">
      <w:pPr>
        <w:keepLines/>
        <w:rPr>
          <w:lang w:val="es-PE"/>
        </w:rPr>
      </w:pPr>
      <w:r w:rsidRPr="0006069A">
        <w:rPr>
          <w:lang w:val="es-PE"/>
        </w:rPr>
        <w:t xml:space="preserve">La objeción previsible a llevar el gas natural licuado a esos corredores </w:t>
      </w:r>
      <w:r>
        <w:rPr>
          <w:lang w:val="es-PE"/>
        </w:rPr>
        <w:t>–</w:t>
      </w:r>
      <w:r w:rsidRPr="0006069A">
        <w:rPr>
          <w:lang w:val="es-PE"/>
        </w:rPr>
        <w:t>la altura y la exigencia de la ruta andina</w:t>
      </w:r>
      <w:r>
        <w:rPr>
          <w:lang w:val="es-PE"/>
        </w:rPr>
        <w:t>–</w:t>
      </w:r>
      <w:r w:rsidRPr="0006069A">
        <w:rPr>
          <w:lang w:val="es-PE"/>
        </w:rPr>
        <w:t xml:space="preserve"> ya fue respondida en campo. Un tractocamión completó las rutas Lima-Cusco y Lima-Ayacucho con recarga intermedia en Nazca, y el centro de abastecimiento instalado en Coporaque, en Espinar, opera a casi 4 mil metros sobre el nivel del mar. La tecnología está probada y la demanda está documentada; lo que falta son puntos de carga.</w:t>
      </w:r>
    </w:p>
    <w:p w14:paraId="6A7BDD05" w14:textId="77777777" w:rsidR="005A7FAA" w:rsidRDefault="005A7FAA">
      <w:pPr>
        <w:rPr>
          <w:lang w:val="es-PE"/>
        </w:rPr>
      </w:pPr>
    </w:p>
    <w:p w14:paraId="2BA52BF4" w14:textId="77777777" w:rsidR="00B313C1" w:rsidRPr="0006069A" w:rsidRDefault="00B313C1">
      <w:pPr>
        <w:keepNext/>
        <w:keepLines/>
        <w:spacing w:before="200" w:after="60"/>
        <w:rPr>
          <w:lang w:val="es-PE"/>
        </w:rPr>
      </w:pPr>
      <w:r w:rsidRPr="0006069A">
        <w:rPr>
          <w:b/>
          <w:color w:val="15607F"/>
          <w:sz w:val="23"/>
          <w:lang w:val="es-PE"/>
        </w:rPr>
        <w:lastRenderedPageBreak/>
        <w:t>La minería: dos precedentes y un mercado por abrir</w:t>
      </w:r>
    </w:p>
    <w:p w14:paraId="7A93FF70" w14:textId="7E432498" w:rsidR="00B313C1" w:rsidRPr="0006069A" w:rsidRDefault="00B313C1">
      <w:pPr>
        <w:keepLines/>
        <w:rPr>
          <w:lang w:val="es-PE"/>
        </w:rPr>
      </w:pPr>
      <w:r w:rsidRPr="0006069A">
        <w:rPr>
          <w:lang w:val="es-PE"/>
        </w:rPr>
        <w:t xml:space="preserve">La oportunidad del gas natural en la minería tiene una franja bien delimitada: el transporte de concentrado, la logística pesada por carretera, los equipos medianos y los procesos térmicos. En los camiones de acarreo de gran tonelaje, en cambio, la discusión se está resolviendo por la vía eléctrica </w:t>
      </w:r>
      <w:r>
        <w:rPr>
          <w:lang w:val="es-PE"/>
        </w:rPr>
        <w:t>–</w:t>
      </w:r>
      <w:r w:rsidRPr="0006069A">
        <w:rPr>
          <w:lang w:val="es-PE"/>
        </w:rPr>
        <w:t>sistemas de asistencia por catenaria y transferencia dinámica de energía</w:t>
      </w:r>
      <w:r>
        <w:rPr>
          <w:lang w:val="es-PE"/>
        </w:rPr>
        <w:t>–</w:t>
      </w:r>
      <w:r w:rsidRPr="0006069A">
        <w:rPr>
          <w:lang w:val="es-PE"/>
        </w:rPr>
        <w:t>, y el hidrógeno, que hace unos años se presentaba como la alternativa para la flota minera, acumula procesos fallidos en el mundo</w:t>
      </w:r>
      <w:r>
        <w:rPr>
          <w:lang w:val="es-PE"/>
        </w:rPr>
        <w:t>,</w:t>
      </w:r>
      <w:r w:rsidRPr="0006069A">
        <w:rPr>
          <w:lang w:val="es-PE"/>
        </w:rPr>
        <w:t xml:space="preserve"> y en el Perú está aún en etapa incipiente. En su franja, en cambio, el gas natural ya tiene clientes e infraestructura en despliegue.</w:t>
      </w:r>
    </w:p>
    <w:p w14:paraId="1FF9601A" w14:textId="77777777" w:rsidR="00B313C1" w:rsidRPr="0006069A" w:rsidRDefault="00B313C1">
      <w:pPr>
        <w:keepLines/>
        <w:rPr>
          <w:lang w:val="es-PE"/>
        </w:rPr>
      </w:pPr>
      <w:r w:rsidRPr="0006069A">
        <w:rPr>
          <w:lang w:val="es-PE"/>
        </w:rPr>
        <w:t>El primer precedente está en el proceso productivo. Southern Perú inició la sustitución de petróleo industrial, diésel y gas licuado de petróleo por gas natural en dieciséis equipos de su fundición y refinería de Ilo, abastecidos mediante una planta satélite de regasificación. Es el mayor complejo metalúrgico del sur y, aunque no existe gasoducto que llegue hasta ahí, ya utiliza gas natural en sus procesos. El segundo está en la logística. Desde 2023, Nexa Resources opera con gas natural vehicular parte de la flota que transporta el concentrado de sus minas de Cerro Lindo y El Porvenir, con la meta de convertirla íntegramente.</w:t>
      </w:r>
    </w:p>
    <w:p w14:paraId="3CE887D5" w14:textId="565EF680" w:rsidR="00B313C1" w:rsidRPr="0006069A" w:rsidRDefault="00B313C1">
      <w:pPr>
        <w:keepLines/>
        <w:rPr>
          <w:lang w:val="es-PE"/>
        </w:rPr>
      </w:pPr>
      <w:r w:rsidRPr="0006069A">
        <w:rPr>
          <w:lang w:val="es-PE"/>
        </w:rPr>
        <w:t xml:space="preserve">Fuera de esos dos casos, el mercado recién se está iniciando, y ahí reside la oportunidad. Cerro Verde, la mayor operación de cobre de Arequipa, no tiene iniciativa alguna de gas natural; su gerente de energía explicó en 2025 que en los camiones de acarreo </w:t>
      </w:r>
      <w:r>
        <w:rPr>
          <w:lang w:val="es-PE"/>
        </w:rPr>
        <w:t>“</w:t>
      </w:r>
      <w:r w:rsidRPr="0006069A">
        <w:rPr>
          <w:lang w:val="es-PE"/>
        </w:rPr>
        <w:t>aún no existe una tecnología lo suficientemente eficiente para reemplazar los motores a diésel en estas unidades</w:t>
      </w:r>
      <w:r>
        <w:rPr>
          <w:lang w:val="es-PE"/>
        </w:rPr>
        <w:t>”</w:t>
      </w:r>
      <w:r w:rsidRPr="0006069A">
        <w:rPr>
          <w:lang w:val="es-PE"/>
        </w:rPr>
        <w:t>, y la empresa optó por acercar las chancadoras al tajo y por electricidad renovable. La lectura correcta de esa ausencia no es un rechazo tecnológico, sino económico: sin gasoducto, el gas llega a Arequipa en cisterna, caro y en volúmenes limitados, y ninguna operación de esa escala compromete su matriz energética sobre un suministro con esos costos y esa disponibilidad. Resolver la infraestructura es, también aquí, la condición previa para que la demanda minera del sur pase de potencial a contrato.</w:t>
      </w:r>
    </w:p>
    <w:p w14:paraId="3FAFCDAC" w14:textId="77777777" w:rsidR="00B313C1" w:rsidRPr="0006069A" w:rsidRDefault="00B313C1">
      <w:pPr>
        <w:keepNext/>
        <w:keepLines/>
        <w:spacing w:before="280" w:after="80"/>
        <w:rPr>
          <w:lang w:val="es-PE"/>
        </w:rPr>
      </w:pPr>
      <w:r w:rsidRPr="0006069A">
        <w:rPr>
          <w:b/>
          <w:color w:val="1F3864"/>
          <w:sz w:val="24"/>
          <w:lang w:val="es-PE"/>
        </w:rPr>
        <w:t>La tarifa nivelada: una oportunidad para dinamizar la demanda</w:t>
      </w:r>
    </w:p>
    <w:p w14:paraId="56720A69" w14:textId="2FCBCA3E" w:rsidR="00B313C1" w:rsidRPr="0006069A" w:rsidRDefault="00B313C1">
      <w:pPr>
        <w:keepLines/>
        <w:rPr>
          <w:lang w:val="es-PE"/>
        </w:rPr>
      </w:pPr>
      <w:r w:rsidRPr="0006069A">
        <w:rPr>
          <w:lang w:val="es-PE"/>
        </w:rPr>
        <w:t xml:space="preserve">Nada de lo anterior ocurre si el precio no acompaña. Un usuario industrial de la Concesión Norte paga por el gas natural cerca del doble de lo que paga uno equivalente en Lima, y en el sur del país la diferencia se acerca a tres veces. </w:t>
      </w:r>
      <w:r w:rsidR="0030076E">
        <w:rPr>
          <w:lang w:val="es-PE"/>
        </w:rPr>
        <w:t>E</w:t>
      </w:r>
      <w:r w:rsidRPr="0006069A">
        <w:rPr>
          <w:lang w:val="es-PE"/>
        </w:rPr>
        <w:t>l problema</w:t>
      </w:r>
      <w:r w:rsidR="0030076E">
        <w:rPr>
          <w:lang w:val="es-PE"/>
        </w:rPr>
        <w:t xml:space="preserve"> </w:t>
      </w:r>
      <w:r w:rsidRPr="0006069A">
        <w:rPr>
          <w:lang w:val="es-PE"/>
        </w:rPr>
        <w:t xml:space="preserve">no es una brecha entre Lima y las regiones, sino entre las zonas que reciben el gas por ducto y las que lo reciben en cisterna. La concesión de Ica, conectada al </w:t>
      </w:r>
      <w:r>
        <w:rPr>
          <w:lang w:val="es-PE"/>
        </w:rPr>
        <w:t>S</w:t>
      </w:r>
      <w:r w:rsidRPr="0006069A">
        <w:rPr>
          <w:lang w:val="es-PE"/>
        </w:rPr>
        <w:t xml:space="preserve">istema de </w:t>
      </w:r>
      <w:r>
        <w:rPr>
          <w:lang w:val="es-PE"/>
        </w:rPr>
        <w:t>T</w:t>
      </w:r>
      <w:r w:rsidRPr="0006069A">
        <w:rPr>
          <w:lang w:val="es-PE"/>
        </w:rPr>
        <w:t>ransporte, tiene tarifas industriales comparables a las de la capital.</w:t>
      </w:r>
    </w:p>
    <w:p w14:paraId="6D437A7B" w14:textId="381A67F1" w:rsidR="00B313C1" w:rsidRDefault="00B313C1">
      <w:pPr>
        <w:keepNext/>
        <w:spacing w:before="160"/>
        <w:jc w:val="center"/>
      </w:pPr>
      <w:r>
        <w:rPr>
          <w:noProof/>
        </w:rPr>
        <w:lastRenderedPageBreak/>
        <w:drawing>
          <wp:inline distT="0" distB="0" distL="0" distR="0" wp14:anchorId="12ABB217" wp14:editId="5FDBDAD8">
            <wp:extent cx="4320000" cy="3120865"/>
            <wp:effectExtent l="0" t="0" r="0" b="0"/>
            <wp:docPr id="2110891799" name="Picture 9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14.png"/>
                    <pic:cNvPicPr/>
                  </pic:nvPicPr>
                  <pic:blipFill>
                    <a:blip r:embed="rId24"/>
                    <a:stretch>
                      <a:fillRect/>
                    </a:stretch>
                  </pic:blipFill>
                  <pic:spPr>
                    <a:xfrm>
                      <a:off x="0" y="0"/>
                      <a:ext cx="4320000" cy="3120865"/>
                    </a:xfrm>
                    <a:prstGeom prst="rect">
                      <a:avLst/>
                    </a:prstGeom>
                  </pic:spPr>
                </pic:pic>
              </a:graphicData>
            </a:graphic>
          </wp:inline>
        </w:drawing>
      </w:r>
    </w:p>
    <w:p w14:paraId="77213304" w14:textId="77777777" w:rsidR="00B313C1" w:rsidRPr="0006069A" w:rsidRDefault="00B313C1">
      <w:pPr>
        <w:keepLines/>
        <w:rPr>
          <w:lang w:val="es-PE"/>
        </w:rPr>
      </w:pPr>
      <w:r w:rsidRPr="0006069A">
        <w:rPr>
          <w:lang w:val="es-PE"/>
        </w:rPr>
        <w:t>Esa diferencia tiene dos mitades. Una es logística y evidente: licuefacción, acarreo en cisterna y regasificación en destino encarecen la molécula. La otra es menos visible y explica por qué el problema no se resuelve solo con infraestructura: en una red con pocos clientes, los costos fijos de operar, mantener y atender el servicio se reparten entre muy poco volumen. La consecuencia práctica es que una tarifa más baja que no venga acompañada de nuevos consumidores deja intacta la mitad del problema.</w:t>
      </w:r>
    </w:p>
    <w:p w14:paraId="4FAF2141" w14:textId="1CA197D2" w:rsidR="00B313C1" w:rsidRPr="0006069A" w:rsidRDefault="00B313C1">
      <w:pPr>
        <w:keepNext/>
        <w:keepLines/>
        <w:spacing w:before="200" w:after="60"/>
        <w:rPr>
          <w:lang w:val="es-PE"/>
        </w:rPr>
      </w:pPr>
      <w:r w:rsidRPr="0006069A">
        <w:rPr>
          <w:b/>
          <w:color w:val="15607F"/>
          <w:sz w:val="23"/>
          <w:highlight w:val="yellow"/>
          <w:lang w:val="es-PE"/>
        </w:rPr>
        <w:t xml:space="preserve">Una ley </w:t>
      </w:r>
      <w:r w:rsidR="001D477C">
        <w:rPr>
          <w:b/>
          <w:color w:val="15607F"/>
          <w:sz w:val="23"/>
          <w:highlight w:val="yellow"/>
          <w:lang w:val="es-PE"/>
        </w:rPr>
        <w:t xml:space="preserve">defectuosa </w:t>
      </w:r>
      <w:r w:rsidR="00892DA4">
        <w:rPr>
          <w:b/>
          <w:color w:val="15607F"/>
          <w:sz w:val="23"/>
          <w:highlight w:val="yellow"/>
          <w:lang w:val="es-PE"/>
        </w:rPr>
        <w:t xml:space="preserve">que no alienta la masificación, </w:t>
      </w:r>
      <w:r w:rsidRPr="0006069A">
        <w:rPr>
          <w:b/>
          <w:color w:val="15607F"/>
          <w:sz w:val="23"/>
          <w:highlight w:val="yellow"/>
          <w:lang w:val="es-PE"/>
        </w:rPr>
        <w:t>aprobada por insistencia y todavía sin reglamento</w:t>
      </w:r>
    </w:p>
    <w:p w14:paraId="7A1DEBF4" w14:textId="2491C549" w:rsidR="00B313C1" w:rsidRPr="0006069A" w:rsidRDefault="00B313C1">
      <w:pPr>
        <w:keepLines/>
        <w:rPr>
          <w:lang w:val="es-PE"/>
        </w:rPr>
      </w:pPr>
      <w:r w:rsidRPr="0006069A">
        <w:rPr>
          <w:lang w:val="es-PE"/>
        </w:rPr>
        <w:t xml:space="preserve">El mecanismo pensado para corregir esto existe desde abril de 2025, pero nació con dos debilidades que </w:t>
      </w:r>
      <w:r w:rsidR="009146B6">
        <w:rPr>
          <w:lang w:val="es-PE"/>
        </w:rPr>
        <w:t>hay que</w:t>
      </w:r>
      <w:r w:rsidRPr="0006069A">
        <w:rPr>
          <w:lang w:val="es-PE"/>
        </w:rPr>
        <w:t xml:space="preserve"> señalar de entrada. La Ley 32315 creó un esquema de compensación que nivela el precio final de los usuarios regulados de las regiones con el de las concesiones conectadas al </w:t>
      </w:r>
      <w:r>
        <w:rPr>
          <w:lang w:val="es-PE"/>
        </w:rPr>
        <w:t>S</w:t>
      </w:r>
      <w:r w:rsidRPr="0006069A">
        <w:rPr>
          <w:lang w:val="es-PE"/>
        </w:rPr>
        <w:t xml:space="preserve">istema de </w:t>
      </w:r>
      <w:r>
        <w:rPr>
          <w:lang w:val="es-PE"/>
        </w:rPr>
        <w:t>T</w:t>
      </w:r>
      <w:r w:rsidRPr="0006069A">
        <w:rPr>
          <w:lang w:val="es-PE"/>
        </w:rPr>
        <w:t>ransporte, aplicándose como un descuento en la factura y financiándose primero con el Fondo de Inclusión Social Energético y, solo si este resulta insuficiente, con un recargo al servicio de transporte por ductos. La primera debilidad es de origen: la norma fue aprobada por insistencia del Congreso, sobre un texto que el propio Ejecutivo había observado por considerar que, tal como quedó redactado, excluía a buena parte de los usuarios que debía beneficiar. La segunda es de ejecución: la ley otorgó noventa días para reglamentarla, ese plazo venció en julio de 2025, en junio de 2026 se prepublicó un proyecto y el reglamento definitivo sigue sin aprobarse. Sin él, el mecanismo no puede operar, porque el regulador no cuenta con el procedimiento que le permitiría calcular y aplicar la compensación. Más de un año después, la tarifa nivelada sigue siendo una promesa legal sin efecto práctico sobre ninguna factura.</w:t>
      </w:r>
    </w:p>
    <w:p w14:paraId="1C8DCDA3" w14:textId="77777777" w:rsidR="000E4502" w:rsidRDefault="000E4502">
      <w:pPr>
        <w:rPr>
          <w:lang w:val="es-PE"/>
        </w:rPr>
      </w:pPr>
    </w:p>
    <w:p w14:paraId="48FF67C7" w14:textId="4915DBD0" w:rsidR="00B313C1" w:rsidRPr="0006069A" w:rsidRDefault="00B313C1">
      <w:pPr>
        <w:keepLines/>
        <w:rPr>
          <w:lang w:val="es-PE"/>
        </w:rPr>
      </w:pPr>
      <w:r w:rsidRPr="0006069A">
        <w:rPr>
          <w:lang w:val="es-PE"/>
        </w:rPr>
        <w:lastRenderedPageBreak/>
        <w:t xml:space="preserve">La discusión de fondo no es si debe existir una compensación, sino a quién alcanza. El proyecto original del Ejecutivo proponía nivelar el precio de los usuarios de hasta 900 mil metros cúbicos mensuales; el texto finalmente aprobado fijó el límite en 50 mil, lo que deja fuera a la industria mediana y grande, a los grandes comercios y a las estaciones de servicio de gas natural vehicular, segmentos que concentran más de cuatro quintas partes de la demanda nacional. La diferencia entre ambas cifras es la diferencia entre incluir o no al cliente ancla, y de ahí depende la viabilidad de una red regional. La experiencia de Lima lo ilustra con claridad: en esa concesión, cerca del 94 % de los clientes son hogares que consumen apenas el 2,6 % del volumen, mientras que medio centenar de grandes clientes concentra alrededor del 80 %. Ese subsidio cruzado interno </w:t>
      </w:r>
      <w:r>
        <w:rPr>
          <w:lang w:val="es-PE"/>
        </w:rPr>
        <w:t xml:space="preserve">fue </w:t>
      </w:r>
      <w:r w:rsidRPr="0006069A">
        <w:rPr>
          <w:lang w:val="es-PE"/>
        </w:rPr>
        <w:t>el que financió la masificación limeña, justamente el que las concesiones regionales no tienen.</w:t>
      </w:r>
    </w:p>
    <w:p w14:paraId="593BA63A" w14:textId="77777777" w:rsidR="00B313C1" w:rsidRPr="0006069A" w:rsidRDefault="00B313C1">
      <w:pPr>
        <w:keepLines/>
        <w:rPr>
          <w:lang w:val="es-PE"/>
        </w:rPr>
      </w:pPr>
      <w:r w:rsidRPr="0006069A">
        <w:rPr>
          <w:lang w:val="es-PE"/>
        </w:rPr>
        <w:t>A ello se suma una asimetría dentro de la propia área de concesión: los comercializadores de gas natural comprimido y licuado atienden directamente a los grandes consumidores sin estar sujetos a regulación tarifaria ni a las obligaciones de inversión y de servicio que sí pesan sobre el concesionario. Capturan así buena parte de la demanda que permitiría bajar la tarifa de distribución. El cliente ancla, entonces, no solo queda fuera del mecanismo de compensación: en parte ya está fuera de la red.</w:t>
      </w:r>
    </w:p>
    <w:p w14:paraId="7DF3DAB9" w14:textId="6AFDF89E" w:rsidR="00B313C1" w:rsidRPr="0006069A" w:rsidRDefault="00B313C1">
      <w:pPr>
        <w:pStyle w:val="Prrafodelista"/>
        <w:keepNext/>
        <w:keepLines/>
        <w:rPr>
          <w:lang w:val="es-PE"/>
        </w:rPr>
      </w:pPr>
      <w:r>
        <w:rPr>
          <w:i/>
          <w:lang w:val="es-PE"/>
        </w:rPr>
        <w:t>“</w:t>
      </w:r>
      <w:r w:rsidRPr="0006069A">
        <w:rPr>
          <w:i/>
          <w:lang w:val="es-PE"/>
        </w:rPr>
        <w:t>Promover concesiones de distribución sostenibles y avanzar hacia la aprobación de un pliego tarifario único a escala nacional</w:t>
      </w:r>
      <w:r>
        <w:rPr>
          <w:i/>
          <w:lang w:val="es-PE"/>
        </w:rPr>
        <w:t>”</w:t>
      </w:r>
      <w:r w:rsidRPr="0006069A">
        <w:rPr>
          <w:i/>
          <w:lang w:val="es-PE"/>
        </w:rPr>
        <w:t>.</w:t>
      </w:r>
    </w:p>
    <w:p w14:paraId="0F1AE964" w14:textId="77777777" w:rsidR="00B313C1" w:rsidRPr="0006069A" w:rsidRDefault="00B313C1">
      <w:pPr>
        <w:pStyle w:val="Prrafodelista"/>
        <w:keepLines/>
        <w:rPr>
          <w:lang w:val="es-PE"/>
        </w:rPr>
      </w:pPr>
      <w:r w:rsidRPr="0006069A">
        <w:rPr>
          <w:i/>
          <w:color w:val="404040"/>
          <w:sz w:val="18"/>
          <w:lang w:val="es-PE"/>
        </w:rPr>
        <w:t>Iris Cárdenas – Viceministra de Hidrocarburos del Minem · XV Conferencia Gas Natural Perú, agosto de 2026</w:t>
      </w:r>
    </w:p>
    <w:p w14:paraId="627B7F28" w14:textId="77777777" w:rsidR="00B313C1" w:rsidRPr="0006069A" w:rsidRDefault="00B313C1">
      <w:pPr>
        <w:keepNext/>
        <w:keepLines/>
        <w:spacing w:before="200" w:after="60"/>
        <w:rPr>
          <w:lang w:val="es-PE"/>
        </w:rPr>
      </w:pPr>
      <w:r w:rsidRPr="0006069A">
        <w:rPr>
          <w:b/>
          <w:color w:val="15607F"/>
          <w:sz w:val="23"/>
          <w:lang w:val="es-PE"/>
        </w:rPr>
        <w:t>Separar el alivio de la factura de la construcción de la red</w:t>
      </w:r>
    </w:p>
    <w:p w14:paraId="36C9FCCB" w14:textId="6C59455F" w:rsidR="00B313C1" w:rsidRPr="0006069A" w:rsidRDefault="00B313C1">
      <w:pPr>
        <w:keepLines/>
        <w:rPr>
          <w:lang w:val="es-PE"/>
        </w:rPr>
      </w:pPr>
      <w:r w:rsidRPr="0006069A">
        <w:rPr>
          <w:lang w:val="es-PE"/>
        </w:rPr>
        <w:t xml:space="preserve">Hay observaciones al esquema que </w:t>
      </w:r>
      <w:r w:rsidR="002315D6">
        <w:rPr>
          <w:lang w:val="es-PE"/>
        </w:rPr>
        <w:t>se deben</w:t>
      </w:r>
      <w:r w:rsidRPr="0006069A">
        <w:rPr>
          <w:lang w:val="es-PE"/>
        </w:rPr>
        <w:t xml:space="preserve"> </w:t>
      </w:r>
      <w:r w:rsidR="002315D6">
        <w:rPr>
          <w:lang w:val="es-PE"/>
        </w:rPr>
        <w:t>tomar en cuenta</w:t>
      </w:r>
      <w:r w:rsidRPr="0006069A">
        <w:rPr>
          <w:lang w:val="es-PE"/>
        </w:rPr>
        <w:t>. La más consistente es que un subsidio a la tarifa no construye la infraestructura que falta: traslada el sobrecosto del transporte virtual al fondo que lo financia sin eliminarlo. A ello se suma que los recursos de ese fondo ya están comprometidos con el vale de gas licuado, el financiamiento de conexiones y otros programas, y que los plazos administrativos siguen siendo el cuello de botella menos discutido del sector.</w:t>
      </w:r>
    </w:p>
    <w:p w14:paraId="6064F335" w14:textId="2C37A742" w:rsidR="00B313C1" w:rsidRPr="0006069A" w:rsidRDefault="00B313C1">
      <w:pPr>
        <w:keepLines/>
        <w:rPr>
          <w:lang w:val="es-PE"/>
        </w:rPr>
      </w:pPr>
      <w:r w:rsidRPr="0006069A">
        <w:rPr>
          <w:lang w:val="es-PE"/>
        </w:rPr>
        <w:t>Ese cuello de botella se ve con nitidez en uno de los instrumentos de los que depende hoy la masificación residencial. El Bonogas ha llegado a financiar cerca de nueve de cada diez conexiones nuevas, pero opera con un plan anual de promociones que debe aprobarse cada ejercicio y que ha ido saliendo cada vez más tarde: el de 2023 se aprobó en febrero, el de 2025 en agosto y el de 2026 seguía sin publicarse al cierre de esta edición. Un programa cuyo plan llega cuando el año ya se consumió no puede sostener un ritmo de conexiones: en 2025 las financiadas cayeron de 241 mil a 94 mil. El problema no es solo de monto, sino de previsibilidad, y ninguna de las dos cosas se resuelve cargándole al mismo fondo una obligación adicional.</w:t>
      </w:r>
    </w:p>
    <w:p w14:paraId="1BD326ED" w14:textId="35079ED0" w:rsidR="00B313C1" w:rsidRPr="0006069A" w:rsidRDefault="00B313C1">
      <w:pPr>
        <w:pStyle w:val="Prrafodelista"/>
        <w:keepNext/>
        <w:keepLines/>
        <w:rPr>
          <w:lang w:val="es-PE"/>
        </w:rPr>
      </w:pPr>
      <w:r>
        <w:rPr>
          <w:i/>
          <w:lang w:val="es-PE"/>
        </w:rPr>
        <w:t>“</w:t>
      </w:r>
      <w:r w:rsidRPr="0006069A">
        <w:rPr>
          <w:i/>
          <w:lang w:val="es-PE"/>
        </w:rPr>
        <w:t>En Perú, un proceso de concesión puede tomar entre cinco y nueve años</w:t>
      </w:r>
      <w:r>
        <w:rPr>
          <w:i/>
          <w:lang w:val="es-PE"/>
        </w:rPr>
        <w:t>”</w:t>
      </w:r>
      <w:r w:rsidRPr="0006069A">
        <w:rPr>
          <w:i/>
          <w:lang w:val="es-PE"/>
        </w:rPr>
        <w:t>.</w:t>
      </w:r>
    </w:p>
    <w:p w14:paraId="0E891071" w14:textId="77777777" w:rsidR="00B313C1" w:rsidRPr="0006069A" w:rsidRDefault="00B313C1">
      <w:pPr>
        <w:pStyle w:val="Prrafodelista"/>
        <w:keepLines/>
        <w:rPr>
          <w:lang w:val="es-PE"/>
        </w:rPr>
      </w:pPr>
      <w:r w:rsidRPr="0006069A">
        <w:rPr>
          <w:i/>
          <w:color w:val="404040"/>
          <w:sz w:val="18"/>
          <w:lang w:val="es-PE"/>
        </w:rPr>
        <w:t>Erick García – Ex director general de Hidrocarburos del Ministerio de Energía y Minas</w:t>
      </w:r>
      <w:r>
        <w:rPr>
          <w:i/>
          <w:color w:val="404040"/>
          <w:sz w:val="18"/>
          <w:lang w:val="es-PE"/>
        </w:rPr>
        <w:t>.</w:t>
      </w:r>
    </w:p>
    <w:p w14:paraId="642983C3" w14:textId="77777777" w:rsidR="00F47D6A" w:rsidRDefault="00F47D6A">
      <w:pPr>
        <w:rPr>
          <w:lang w:val="es-PE"/>
        </w:rPr>
      </w:pPr>
    </w:p>
    <w:p w14:paraId="16785050" w14:textId="24C73F21" w:rsidR="00B313C1" w:rsidRPr="0006069A" w:rsidRDefault="00B313C1">
      <w:pPr>
        <w:keepLines/>
        <w:rPr>
          <w:lang w:val="es-PE"/>
        </w:rPr>
      </w:pPr>
      <w:r w:rsidRPr="0006069A">
        <w:rPr>
          <w:lang w:val="es-PE"/>
        </w:rPr>
        <w:lastRenderedPageBreak/>
        <w:t xml:space="preserve">La experiencia comparada muestra que el objetivo es alcanzable. Colombia es el ejemplo más cercano de un país que masificó el gas natural atacando de frente el problema de las tarifas: más de 36 millones de personas acceden hoy al servicio </w:t>
      </w:r>
      <w:r>
        <w:rPr>
          <w:lang w:val="es-PE"/>
        </w:rPr>
        <w:t>–</w:t>
      </w:r>
      <w:r w:rsidRPr="0006069A">
        <w:rPr>
          <w:lang w:val="es-PE"/>
        </w:rPr>
        <w:t>y el 85 % de los usuarios residenciales pertenece a los estratos de menores ingresos</w:t>
      </w:r>
      <w:r>
        <w:rPr>
          <w:lang w:val="es-PE"/>
        </w:rPr>
        <w:t>–</w:t>
      </w:r>
      <w:r w:rsidRPr="0006069A">
        <w:rPr>
          <w:lang w:val="es-PE"/>
        </w:rPr>
        <w:t xml:space="preserve">, con descuentos sostenidos en la factura para los hogares más pobres y un fondo que cofinancia la expansión de redes hacia las zonas desatendidas. No se trata de replicar ese diseño, que responde a otra institucionalidad, pero sí de tomar la referencia: la brecha tarifaria no se cerró sola ni la cerró el mercado. La cerró una política sostenida durante décadas. La experiencia argentina aporta la advertencia complementaria: los esquemas de nivelación territorial financiados con recargos cruzados tienden a ampliarse más allá de su justificación técnica, por lo que </w:t>
      </w:r>
      <w:r w:rsidR="00857BAF">
        <w:rPr>
          <w:lang w:val="es-PE"/>
        </w:rPr>
        <w:t>es necesario</w:t>
      </w:r>
      <w:r w:rsidRPr="0006069A">
        <w:rPr>
          <w:lang w:val="es-PE"/>
        </w:rPr>
        <w:t xml:space="preserve"> fijar desde el inicio topes, reglas de activación y un horizonte de convergencia.</w:t>
      </w:r>
    </w:p>
    <w:p w14:paraId="20ADBC45" w14:textId="77777777" w:rsidR="00B313C1" w:rsidRPr="0006069A" w:rsidRDefault="00B313C1">
      <w:pPr>
        <w:keepLines/>
        <w:rPr>
          <w:lang w:val="es-PE"/>
        </w:rPr>
      </w:pPr>
      <w:r w:rsidRPr="0006069A">
        <w:rPr>
          <w:lang w:val="es-PE"/>
        </w:rPr>
        <w:t>Hay una razón adicional para actuar pronto, y es que existe consenso. La tarifa nivelada dejó de ser una propuesta en disputa: de acuerdo con la lectura del gremio de hidrocarburos, las principales fuerzas políticas coincidieron durante la campaña en la necesidad de acercar el precio de las regiones al de Lima, y las diferencias se concentran en cómo financiarla. La agenda tiene dos velocidades.</w:t>
      </w:r>
    </w:p>
    <w:p w14:paraId="3B487753" w14:textId="0E65AA56" w:rsidR="00B313C1" w:rsidRPr="0006069A" w:rsidRDefault="00B313C1">
      <w:pPr>
        <w:keepLines/>
        <w:rPr>
          <w:lang w:val="es-PE"/>
        </w:rPr>
      </w:pPr>
      <w:r w:rsidRPr="0006069A">
        <w:rPr>
          <w:lang w:val="es-PE"/>
        </w:rPr>
        <w:t xml:space="preserve">Reglamentar la ley está íntegramente en manos del Ejecutivo y no requiere recursos adicionales del Tesoro, pero el proyecto prepublicado en junio de 2026 muestra que hacerlo mal puede ser peor que no hacerlo: extiende el beneficio a todas las estaciones de gas natural vehicular, se abastezcan o no de redes concesionadas </w:t>
      </w:r>
      <w:r>
        <w:rPr>
          <w:lang w:val="es-PE"/>
        </w:rPr>
        <w:t>–</w:t>
      </w:r>
      <w:r w:rsidRPr="0006069A">
        <w:rPr>
          <w:lang w:val="es-PE"/>
        </w:rPr>
        <w:t>con lo que resta demanda justamente a las redes que la medida busca hacer viables</w:t>
      </w:r>
      <w:r>
        <w:rPr>
          <w:lang w:val="es-PE"/>
        </w:rPr>
        <w:t>–</w:t>
      </w:r>
      <w:r w:rsidRPr="0006069A">
        <w:rPr>
          <w:lang w:val="es-PE"/>
        </w:rPr>
        <w:t>, y aplica el descuento sobre los costos de la tarifa y no sobre el precio final, sin garantía de que llegue al usuario. Un reglamento útil tendría que corregir ambas cosas y fijar un tope al recargo, cuyo impacto el regulador estima en torno al 1 % de la tarifa residencial de Lima y Callao y al 2 % de la industrial. Corregir el umbral de consumo, en cambio, exige modificar la ley, y, por tanto, pasar otra vez por el Congreso; pero un gobierno entrante tiene ahí una ventana que no volverá a abrirse pronto, sea por la vía de un proyecto de ley con respaldo político fresco o por la de las facultades legislativas delegadas que suelen solicitarse al inicio del mandato.</w:t>
      </w:r>
    </w:p>
    <w:p w14:paraId="66166E70" w14:textId="7525B8D2" w:rsidR="00B313C1" w:rsidRPr="0006069A" w:rsidRDefault="00B313C1">
      <w:pPr>
        <w:pStyle w:val="Prrafodelista"/>
        <w:keepLines/>
        <w:rPr>
          <w:lang w:val="es-PE"/>
        </w:rPr>
      </w:pPr>
      <w:r>
        <w:rPr>
          <w:i/>
          <w:lang w:val="es-PE"/>
        </w:rPr>
        <w:t>“</w:t>
      </w:r>
      <w:r w:rsidRPr="0006069A">
        <w:rPr>
          <w:i/>
          <w:lang w:val="es-PE"/>
        </w:rPr>
        <w:t>Al excluir a los usuarios de mayor consumo, la medida no permite generar el incremento de demanda necesario para reducir las tarifas de distribución en regiones fuera de Lima y Callao que, posteriormente, viabilice la construcción de gasoductos</w:t>
      </w:r>
      <w:r>
        <w:rPr>
          <w:i/>
          <w:lang w:val="es-PE"/>
        </w:rPr>
        <w:t>”</w:t>
      </w:r>
      <w:r w:rsidRPr="0006069A">
        <w:rPr>
          <w:i/>
          <w:lang w:val="es-PE"/>
        </w:rPr>
        <w:t>.</w:t>
      </w:r>
    </w:p>
    <w:p w14:paraId="05979CE0" w14:textId="77777777" w:rsidR="00B313C1" w:rsidRPr="0006069A" w:rsidRDefault="00B313C1">
      <w:pPr>
        <w:pStyle w:val="Prrafodelista"/>
        <w:keepLines/>
        <w:rPr>
          <w:lang w:val="es-PE"/>
        </w:rPr>
      </w:pPr>
      <w:r w:rsidRPr="0006069A">
        <w:rPr>
          <w:i/>
          <w:color w:val="404040"/>
          <w:sz w:val="18"/>
          <w:lang w:val="es-PE"/>
        </w:rPr>
        <w:t xml:space="preserve">Instituto Peruano de Economía · </w:t>
      </w:r>
      <w:r>
        <w:rPr>
          <w:i/>
          <w:color w:val="404040"/>
          <w:sz w:val="18"/>
          <w:lang w:val="es-PE"/>
        </w:rPr>
        <w:t>“</w:t>
      </w:r>
      <w:r w:rsidRPr="0006069A">
        <w:rPr>
          <w:i/>
          <w:color w:val="404040"/>
          <w:sz w:val="18"/>
          <w:lang w:val="es-PE"/>
        </w:rPr>
        <w:t>Medidas para impulsar la competitividad a partir del uso eficiente de la matriz energética</w:t>
      </w:r>
      <w:r>
        <w:rPr>
          <w:i/>
          <w:color w:val="404040"/>
          <w:sz w:val="18"/>
          <w:lang w:val="es-PE"/>
        </w:rPr>
        <w:t>”</w:t>
      </w:r>
      <w:r w:rsidRPr="0006069A">
        <w:rPr>
          <w:i/>
          <w:color w:val="404040"/>
          <w:sz w:val="18"/>
          <w:lang w:val="es-PE"/>
        </w:rPr>
        <w:t>, informe elaborado para la Sociedad Peruana de Hidrocarburos, agosto de 2026</w:t>
      </w:r>
    </w:p>
    <w:p w14:paraId="441C672D" w14:textId="2BC6EEFA" w:rsidR="00B313C1" w:rsidRPr="0006069A" w:rsidRDefault="00B313C1">
      <w:pPr>
        <w:keepLines/>
        <w:rPr>
          <w:lang w:val="es-PE"/>
        </w:rPr>
      </w:pPr>
      <w:r w:rsidRPr="0006069A">
        <w:rPr>
          <w:lang w:val="es-PE"/>
        </w:rPr>
        <w:t xml:space="preserve">Conviene cerrar con una observación que ordena </w:t>
      </w:r>
      <w:r w:rsidR="00553548">
        <w:rPr>
          <w:lang w:val="es-PE"/>
        </w:rPr>
        <w:t>esta sección</w:t>
      </w:r>
      <w:r w:rsidRPr="0006069A">
        <w:rPr>
          <w:lang w:val="es-PE"/>
        </w:rPr>
        <w:t xml:space="preserve">. La adenda de Cálidda logra, por la vía contractual, exactamente lo mismo que la ley busca por la vía del subsidio: llevar la tarifa de Lima y Callao a regiones que hoy pagan mucho más. La diferencia es el instrumento </w:t>
      </w:r>
      <w:r>
        <w:rPr>
          <w:lang w:val="es-PE"/>
        </w:rPr>
        <w:t>–</w:t>
      </w:r>
      <w:r w:rsidRPr="0006069A">
        <w:rPr>
          <w:lang w:val="es-PE"/>
        </w:rPr>
        <w:t>diez años adicionales de concesión donde amortizar la inversión, en lugar de una transferencia pública</w:t>
      </w:r>
      <w:r>
        <w:rPr>
          <w:lang w:val="es-PE"/>
        </w:rPr>
        <w:t>–</w:t>
      </w:r>
      <w:r w:rsidRPr="0006069A">
        <w:rPr>
          <w:lang w:val="es-PE"/>
        </w:rPr>
        <w:t xml:space="preserve"> y el hecho de que no tiene tope de consumo. Ambas rutas son compatibles y ninguna sustituye a la otra, pero el contraste deja una lección útil para el nuevo ciclo político: cuando el Estado ofrece previsibilidad de largo plazo, la paridad tarifaria puede financiarse sola. Esa es, probablemente, la forma más rápida y menos onerosa de ampliar la cobertura del gas natural en el Perú.</w:t>
      </w:r>
    </w:p>
    <w:p w14:paraId="474C1904" w14:textId="77777777" w:rsidR="00B313C1" w:rsidRPr="008E42E7" w:rsidRDefault="00B313C1">
      <w:pPr>
        <w:pStyle w:val="Ttulo2"/>
        <w:pageBreakBefore/>
        <w:rPr>
          <w:lang w:val="es-PE"/>
        </w:rPr>
      </w:pPr>
      <w:bookmarkStart w:id="46" w:name="_Idx_6_2"/>
      <w:r w:rsidRPr="008E42E7">
        <w:rPr>
          <w:lang w:val="es-PE"/>
        </w:rPr>
        <w:lastRenderedPageBreak/>
        <w:t>6.2. Asegurar la oferta</w:t>
      </w:r>
      <w:bookmarkEnd w:id="46"/>
    </w:p>
    <w:p w14:paraId="4D68781B" w14:textId="40400875" w:rsidR="00B313C1" w:rsidRPr="008E42E7" w:rsidRDefault="00B313C1">
      <w:pPr>
        <w:keepLines/>
        <w:rPr>
          <w:lang w:val="es-PE"/>
        </w:rPr>
      </w:pPr>
      <w:r w:rsidRPr="008E42E7">
        <w:rPr>
          <w:lang w:val="es-PE"/>
        </w:rPr>
        <w:t xml:space="preserve">La masificación descansa sobre dos condiciones: que haya gas natural y que llegue a donde se consume. Ambas quedaron en cuestión en el último año por razones distintas y a velocidades distintas. La primera enfrenta una tendencia estructural que compromete la sostenibilidad del sistema. La inversión en exploración de hidrocarburos cerró 2025 en su quinto año consecutivo por debajo del 5 % del máximo histórico, las reservas probadas acumulan siete años de caída, y revertir esa tendencia tomará varios años de estudios y perforación. La segunda mostró una fragilidad inmediata: el </w:t>
      </w:r>
      <w:r>
        <w:rPr>
          <w:lang w:val="es-PE"/>
        </w:rPr>
        <w:t xml:space="preserve">primero </w:t>
      </w:r>
      <w:r w:rsidRPr="008E42E7">
        <w:rPr>
          <w:lang w:val="es-PE"/>
        </w:rPr>
        <w:t>de marzo de 2026</w:t>
      </w:r>
      <w:r>
        <w:rPr>
          <w:lang w:val="es-PE"/>
        </w:rPr>
        <w:t>,</w:t>
      </w:r>
      <w:r w:rsidRPr="008E42E7">
        <w:rPr>
          <w:lang w:val="es-PE"/>
        </w:rPr>
        <w:t xml:space="preserve"> una deflagración en el </w:t>
      </w:r>
      <w:r>
        <w:rPr>
          <w:lang w:val="es-PE"/>
        </w:rPr>
        <w:t>S</w:t>
      </w:r>
      <w:r w:rsidRPr="008E42E7">
        <w:rPr>
          <w:lang w:val="es-PE"/>
        </w:rPr>
        <w:t xml:space="preserve">istema de </w:t>
      </w:r>
      <w:r>
        <w:rPr>
          <w:lang w:val="es-PE"/>
        </w:rPr>
        <w:t>T</w:t>
      </w:r>
      <w:r w:rsidRPr="008E42E7">
        <w:rPr>
          <w:lang w:val="es-PE"/>
        </w:rPr>
        <w:t>ransporte de Camisea redujo el suministro de Lima en cerca de 90 % y obligó a racionar durante casi medio mes la entrega de un insumo del que dependen más de dos millones y medio de hogares. Para la primera condición la respuesta es reactivar la exploración. Para la segunda, sumar puntos de entrada al sistema e invertir en almacenamiento, lo que exige un análisis exhaustivo para implementar la opción más adecuada a la realidad y al contexto del país.</w:t>
      </w:r>
    </w:p>
    <w:p w14:paraId="3BD492DA" w14:textId="77777777" w:rsidR="00B313C1" w:rsidRPr="008E42E7" w:rsidRDefault="00B313C1">
      <w:pPr>
        <w:keepNext/>
        <w:keepLines/>
        <w:spacing w:before="280" w:after="120"/>
        <w:rPr>
          <w:lang w:val="es-PE"/>
        </w:rPr>
      </w:pPr>
      <w:r w:rsidRPr="008E42E7">
        <w:rPr>
          <w:b/>
          <w:color w:val="1F3864"/>
          <w:sz w:val="24"/>
          <w:lang w:val="es-PE"/>
        </w:rPr>
        <w:t>La inversión en exploración de hidrocarburos: la urgencia de revertir niveles mínimos</w:t>
      </w:r>
    </w:p>
    <w:p w14:paraId="65129660" w14:textId="293F73BC" w:rsidR="00B313C1" w:rsidRPr="008E42E7" w:rsidRDefault="00B313C1">
      <w:pPr>
        <w:keepLines/>
        <w:rPr>
          <w:lang w:val="es-PE"/>
        </w:rPr>
      </w:pPr>
      <w:r w:rsidRPr="008E42E7">
        <w:rPr>
          <w:lang w:val="es-PE"/>
        </w:rPr>
        <w:t>En 2025</w:t>
      </w:r>
      <w:r>
        <w:rPr>
          <w:lang w:val="es-PE"/>
        </w:rPr>
        <w:t>,</w:t>
      </w:r>
      <w:r w:rsidRPr="008E42E7">
        <w:rPr>
          <w:lang w:val="es-PE"/>
        </w:rPr>
        <w:t xml:space="preserve"> la inversión en exploración de hidrocarburos fue de US$ 10 millones, alrededor del 1 % del máximo histórico alcanzado en 2012. En el quinquenio 2021-2025</w:t>
      </w:r>
      <w:r>
        <w:rPr>
          <w:lang w:val="es-PE"/>
        </w:rPr>
        <w:t>,</w:t>
      </w:r>
      <w:r w:rsidRPr="008E42E7">
        <w:rPr>
          <w:lang w:val="es-PE"/>
        </w:rPr>
        <w:t xml:space="preserve"> el país invirtió unos US$ 60 millones acumulados, frente a los cerca de US$ 3.500 millones del quinquenio 2010-2014. La actividad física refleja esa falta de inversión: en 2025 no se perforó un solo pozo exploratorio ni se levantó un kilómetro de sísmica, y en los últimos cinco años se perforaron tres pozos en todo el país, frente a </w:t>
      </w:r>
      <w:r>
        <w:rPr>
          <w:lang w:val="es-PE"/>
        </w:rPr>
        <w:t xml:space="preserve">47 </w:t>
      </w:r>
      <w:r w:rsidRPr="008E42E7">
        <w:rPr>
          <w:lang w:val="es-PE"/>
        </w:rPr>
        <w:t xml:space="preserve">en el quinquenio 2011-2015. La cartera de contratos se estrechó en la misma dirección: los contratos en fase de exploración pasaron de </w:t>
      </w:r>
      <w:r>
        <w:rPr>
          <w:lang w:val="es-PE"/>
        </w:rPr>
        <w:t xml:space="preserve">13 </w:t>
      </w:r>
      <w:r w:rsidRPr="008E42E7">
        <w:rPr>
          <w:lang w:val="es-PE"/>
        </w:rPr>
        <w:t>en 2019 a cinco en 2025, y</w:t>
      </w:r>
      <w:r>
        <w:rPr>
          <w:lang w:val="es-PE"/>
        </w:rPr>
        <w:t>,</w:t>
      </w:r>
      <w:r w:rsidRPr="008E42E7">
        <w:rPr>
          <w:lang w:val="es-PE"/>
        </w:rPr>
        <w:t xml:space="preserve"> de esos cinco, cuatro están en el zócalo norte y el noroeste y uno solo en la selva, que es donde se concentra la mayor cantidad del gas natural que hoy se produce en el país.</w:t>
      </w:r>
    </w:p>
    <w:p w14:paraId="35C386DC" w14:textId="77777777" w:rsidR="00B313C1" w:rsidRDefault="00B313C1">
      <w:pPr>
        <w:keepNext/>
        <w:spacing w:before="160"/>
        <w:jc w:val="center"/>
      </w:pPr>
      <w:r>
        <w:rPr>
          <w:noProof/>
        </w:rPr>
        <w:drawing>
          <wp:inline distT="0" distB="0" distL="0" distR="0" wp14:anchorId="10677D0B" wp14:editId="6D34CA0A">
            <wp:extent cx="4320000" cy="2851948"/>
            <wp:effectExtent l="0" t="0" r="0" b="0"/>
            <wp:docPr id="90108" name="Picture 9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97.png"/>
                    <pic:cNvPicPr/>
                  </pic:nvPicPr>
                  <pic:blipFill>
                    <a:blip r:embed="rId109"/>
                    <a:stretch>
                      <a:fillRect/>
                    </a:stretch>
                  </pic:blipFill>
                  <pic:spPr>
                    <a:xfrm>
                      <a:off x="0" y="0"/>
                      <a:ext cx="4320000" cy="2851948"/>
                    </a:xfrm>
                    <a:prstGeom prst="rect">
                      <a:avLst/>
                    </a:prstGeom>
                  </pic:spPr>
                </pic:pic>
              </a:graphicData>
            </a:graphic>
          </wp:inline>
        </w:drawing>
      </w:r>
    </w:p>
    <w:p w14:paraId="27210CF9" w14:textId="77777777" w:rsidR="006A7B57" w:rsidRDefault="006A7B57">
      <w:pPr>
        <w:rPr>
          <w:lang w:val="es-PE"/>
        </w:rPr>
      </w:pPr>
    </w:p>
    <w:p w14:paraId="3A30AB7A" w14:textId="164DD822" w:rsidR="00B313C1" w:rsidRPr="008E42E7" w:rsidRDefault="00B313C1">
      <w:pPr>
        <w:keepLines/>
        <w:rPr>
          <w:lang w:val="es-PE"/>
        </w:rPr>
      </w:pPr>
      <w:r w:rsidRPr="008E42E7">
        <w:rPr>
          <w:lang w:val="es-PE"/>
        </w:rPr>
        <w:lastRenderedPageBreak/>
        <w:t xml:space="preserve">La poca inversión en exploración que hubo en los últimos dos años se concentró en tres lotes del zócalo norte que maneja un mismo consorcio </w:t>
      </w:r>
      <w:r>
        <w:rPr>
          <w:lang w:val="es-PE"/>
        </w:rPr>
        <w:t>–</w:t>
      </w:r>
      <w:r w:rsidRPr="008E42E7">
        <w:rPr>
          <w:lang w:val="es-PE"/>
        </w:rPr>
        <w:t>Z-61, Z-62 y Z-63, con mayor participación del segundo</w:t>
      </w:r>
      <w:r>
        <w:rPr>
          <w:lang w:val="es-PE"/>
        </w:rPr>
        <w:t>–</w:t>
      </w:r>
      <w:r w:rsidRPr="008E42E7">
        <w:rPr>
          <w:lang w:val="es-PE"/>
        </w:rPr>
        <w:t>, que entre los tres reunieron más de cuatro quintas partes del gasto exploratorio. Los lotes se encuentran en etapas preliminares: la sísmica tridimensional del Z-62 se completó en 2024 y la perforación del primer pozo exploratorio se postergó a 2027 a la espera de la aprobación ambiental del programa completo de trabajo, que contempla quince pozos por una inversión cercana a los US$ 1.000 millones. Lo sucedido con este proyecto ilustra la situación por la que pasan las inversiones en el sector hidrocarburos en el país. En setiembre de 2025, Chevron y Westlawn entraron al consorcio encargado de los tres lotes con un compromiso inicial de US$ 150 millones. En julio de 2026, menos de un año después, Chevron comunicó a Perupetro la devolución de su participación en el Z-62 para priorizar otras inversiones de su portafolio.</w:t>
      </w:r>
    </w:p>
    <w:p w14:paraId="782F2BE0" w14:textId="3FCD0ABA" w:rsidR="00B313C1" w:rsidRPr="008E42E7" w:rsidRDefault="00B313C1">
      <w:pPr>
        <w:keepLines/>
        <w:rPr>
          <w:lang w:val="es-PE"/>
        </w:rPr>
      </w:pPr>
      <w:r w:rsidRPr="008E42E7">
        <w:rPr>
          <w:lang w:val="es-PE"/>
        </w:rPr>
        <w:t>La salida se entiende mejor en el contexto geopolítico. Desde fines de febrero de 2026</w:t>
      </w:r>
      <w:r>
        <w:rPr>
          <w:lang w:val="es-PE"/>
        </w:rPr>
        <w:t>,</w:t>
      </w:r>
      <w:r w:rsidRPr="008E42E7">
        <w:rPr>
          <w:lang w:val="es-PE"/>
        </w:rPr>
        <w:t xml:space="preserve"> el conflicto entre Estados Unidos e Irán mantiene restringido el tránsito por el estrecho de Ormuz, por donde pasaba una quinta parte del petróleo mundial, y el precio del crudo se ha sostenido alto, con el Brent por encima de US$ 100 por barril a fines de setiembre de 2026. Precios altos con oferta en riesgo llevan a las petroleras a concentrar su capital en los proyectos que producen más rápido. </w:t>
      </w:r>
      <w:r>
        <w:rPr>
          <w:lang w:val="es-PE"/>
        </w:rPr>
        <w:t xml:space="preserve">En 2025, </w:t>
      </w:r>
      <w:r w:rsidRPr="008E42E7">
        <w:rPr>
          <w:lang w:val="es-PE"/>
        </w:rPr>
        <w:t xml:space="preserve">Chevron compró </w:t>
      </w:r>
      <w:r>
        <w:rPr>
          <w:lang w:val="es-PE"/>
        </w:rPr>
        <w:t xml:space="preserve">a la empresa petrolera estadounidense </w:t>
      </w:r>
      <w:r w:rsidRPr="008E42E7">
        <w:rPr>
          <w:lang w:val="es-PE"/>
        </w:rPr>
        <w:t xml:space="preserve">Hess, por US$ 53 mil millones, </w:t>
      </w:r>
      <w:r>
        <w:rPr>
          <w:lang w:val="es-PE"/>
        </w:rPr>
        <w:t>especialmente</w:t>
      </w:r>
      <w:r w:rsidRPr="008E42E7">
        <w:rPr>
          <w:lang w:val="es-PE"/>
        </w:rPr>
        <w:t xml:space="preserve"> por el 30 % del bloque Stabroek en Guyana, el mayor polo de crecimiento petrolero de la región, que pasó del descubrimiento a la producción en menos de cinco años. Venezuela, tras reformar su ley de hidrocarburos en enero de 2026 y con nuevas licencias del Tesoro estadounidense, reabrió a las petroleras internacionales reservas probadas ya delimitadas y de puesta en producción rápida. En esa comparación, una cuenca sin descubrimientos y con la primera producción a cinco años o más pierde terreno con cada año de trámite adicional.</w:t>
      </w:r>
    </w:p>
    <w:p w14:paraId="44B3384C" w14:textId="6E2E6D80" w:rsidR="00B313C1" w:rsidRPr="008E42E7" w:rsidRDefault="00B313C1">
      <w:pPr>
        <w:keepLines/>
        <w:rPr>
          <w:lang w:val="es-PE"/>
        </w:rPr>
      </w:pPr>
      <w:r w:rsidRPr="008E42E7">
        <w:rPr>
          <w:highlight w:val="yellow"/>
          <w:lang w:val="es-PE"/>
        </w:rPr>
        <w:t xml:space="preserve">El caso de Chevron conecta con las demoras en los permisos de aprobación, señaladas de manera recurrente por los inversionistas como el principal problema de la exploración en el Perú. Un permiso de exploración que en países competidores se resuelve en cuatro a seis meses toma en el Perú cerca de cuatro años, con los </w:t>
      </w:r>
      <w:r w:rsidRPr="00184227">
        <w:rPr>
          <w:highlight w:val="yellow"/>
          <w:lang w:val="es-PE"/>
        </w:rPr>
        <w:t xml:space="preserve">expedientes </w:t>
      </w:r>
      <w:r>
        <w:rPr>
          <w:highlight w:val="yellow"/>
          <w:lang w:val="es-PE"/>
        </w:rPr>
        <w:t xml:space="preserve">que demoran </w:t>
      </w:r>
      <w:r w:rsidRPr="00184227">
        <w:rPr>
          <w:highlight w:val="yellow"/>
          <w:lang w:val="es-PE"/>
        </w:rPr>
        <w:t>entre dos y cuatro veces el plazo legal establecido. A ello se</w:t>
      </w:r>
      <w:r w:rsidRPr="008E42E7">
        <w:rPr>
          <w:highlight w:val="yellow"/>
          <w:lang w:val="es-PE"/>
        </w:rPr>
        <w:t xml:space="preserve"> suma una participación del Estado en el resultado del proyecto </w:t>
      </w:r>
      <w:r>
        <w:rPr>
          <w:highlight w:val="yellow"/>
          <w:lang w:val="es-PE"/>
        </w:rPr>
        <w:t>–</w:t>
      </w:r>
      <w:r w:rsidRPr="008E42E7">
        <w:rPr>
          <w:highlight w:val="yellow"/>
          <w:lang w:val="es-PE"/>
        </w:rPr>
        <w:t>regalías más impuestos</w:t>
      </w:r>
      <w:r>
        <w:rPr>
          <w:highlight w:val="yellow"/>
          <w:lang w:val="es-PE"/>
        </w:rPr>
        <w:t>–</w:t>
      </w:r>
      <w:r w:rsidRPr="008E42E7">
        <w:rPr>
          <w:highlight w:val="yellow"/>
          <w:lang w:val="es-PE"/>
        </w:rPr>
        <w:t xml:space="preserve"> que el Instituto Peruano de Economía sitúa cercana al 40 %, frente a cerca de 15 % que se cobra en Brasil, por ejemplo.</w:t>
      </w:r>
    </w:p>
    <w:p w14:paraId="2A838245" w14:textId="0808F832" w:rsidR="00B313C1" w:rsidRDefault="00B313C1">
      <w:pPr>
        <w:keepLines/>
        <w:rPr>
          <w:lang w:val="es-PE"/>
        </w:rPr>
      </w:pPr>
      <w:r>
        <w:rPr>
          <w:lang w:val="es-PE"/>
        </w:rPr>
        <w:t>Otro caso emblemático es el del Lote Z-69, donde se demuestra el efecto de estas condiciones desfavorables con relación a otros países sobre el interés de los operadores. El Z-69 (ex Z-2B) es un lote que produce petróleo y gas natural frente a la cuenca de Talara –unos 14 millones de pies cúbicos diarios antes de pasar a la administración de Petroperú (hoy menos de 9 millones)–. A pesar de ser uno de los pocos lotes con producción de gas natural fuera de Camisea, su adjudicación quedó desierta en setiembre de 2025, sin un solo postor, debido, entre otras cosas, a unas bases que exigían regalías de casi 19 %, un aporte social adicional de 4 % y una participación obligatoria de 25 % para la empresa estatal. Tras una prórroga de seis meses y una extensión de doce, firmada en mayo de 2026, el lote sigue sin operador definitivo. En setiembre de 2026, Perupetro relanzó el concurso con nuevas condiciones –incluida la venta de los activos de Petroperú en el lote, valorizados en US$ 15,1 millones– y un plazo para presentar cartas de interés hasta el 11 de diciembre de 2026, con adjudicación prevista para el 8 de febrero de 2027 y una participación opcional de Petroperú de hasta 25 %. Con una convocatoria previa ya desierta y las mismas condiciones estructurales de fondo, no es evidente que el ajuste sea suficiente para atraer postores esta vez.</w:t>
      </w:r>
    </w:p>
    <w:p w14:paraId="12294F8F" w14:textId="77777777" w:rsidR="00B313C1" w:rsidRPr="008E42E7" w:rsidRDefault="00B313C1">
      <w:pPr>
        <w:keepLines/>
        <w:rPr>
          <w:lang w:val="es-PE"/>
        </w:rPr>
      </w:pPr>
      <w:r w:rsidRPr="008E42E7">
        <w:rPr>
          <w:lang w:val="es-PE"/>
        </w:rPr>
        <w:lastRenderedPageBreak/>
        <w:t>De ahí se desprenden tres frentes de trabajo. El primero es simplificar la tramitación de permisos y monitorear públicamente los plazos reales de cada expediente, sin bajar estándares. El segundo, revisar las condiciones económicas de las rondas para que las regalías y los aportes exigidos sean competitivos frente a los de la región. Y el tercero, reestructurar Petroperú, de modo que su situación financiera deje de restar competitividad tanto a los lotes en que participa como socio obligatorio como a las empresas que lo tienen por cliente y acumulan facturas impagas.</w:t>
      </w:r>
    </w:p>
    <w:p w14:paraId="55DDE728" w14:textId="77777777" w:rsidR="00B313C1" w:rsidRPr="008E42E7" w:rsidRDefault="00B313C1">
      <w:pPr>
        <w:keepNext/>
        <w:keepLines/>
        <w:spacing w:before="220" w:after="80"/>
        <w:rPr>
          <w:lang w:val="es-PE"/>
        </w:rPr>
      </w:pPr>
      <w:r w:rsidRPr="008E42E7">
        <w:rPr>
          <w:b/>
          <w:color w:val="15607F"/>
          <w:sz w:val="23"/>
          <w:lang w:val="es-PE"/>
        </w:rPr>
        <w:t>El caso de Camisea: la exploración y el plazo del contrato</w:t>
      </w:r>
    </w:p>
    <w:p w14:paraId="3CF9CAF0" w14:textId="64BC0314" w:rsidR="00B313C1" w:rsidRPr="008E42E7" w:rsidRDefault="00B313C1">
      <w:pPr>
        <w:keepLines/>
        <w:rPr>
          <w:lang w:val="es-PE"/>
        </w:rPr>
      </w:pPr>
      <w:r>
        <w:rPr>
          <w:lang w:val="es-PE"/>
        </w:rPr>
        <w:t>El yacimiento que sostiene casi toda la producción de gas natural del país</w:t>
      </w:r>
      <w:r w:rsidRPr="008E42E7">
        <w:rPr>
          <w:lang w:val="es-PE"/>
        </w:rPr>
        <w:t xml:space="preserve"> no explora</w:t>
      </w:r>
      <w:r>
        <w:rPr>
          <w:lang w:val="es-PE"/>
        </w:rPr>
        <w:t xml:space="preserve"> desde hace casi una década</w:t>
      </w:r>
      <w:r w:rsidRPr="008E42E7">
        <w:rPr>
          <w:lang w:val="es-PE"/>
        </w:rPr>
        <w:t xml:space="preserve">. En los lotes 88, 56 y 57 no se perforó ningún pozo exploratorio entre 2021 y 2025; </w:t>
      </w:r>
      <w:r>
        <w:rPr>
          <w:lang w:val="es-PE"/>
        </w:rPr>
        <w:t xml:space="preserve">el último data de </w:t>
      </w:r>
      <w:r w:rsidRPr="008E42E7">
        <w:rPr>
          <w:lang w:val="es-PE"/>
        </w:rPr>
        <w:t>2017. En 2025</w:t>
      </w:r>
      <w:r>
        <w:rPr>
          <w:lang w:val="es-PE"/>
        </w:rPr>
        <w:t>,</w:t>
      </w:r>
      <w:r w:rsidRPr="008E42E7">
        <w:rPr>
          <w:lang w:val="es-PE"/>
        </w:rPr>
        <w:t xml:space="preserve"> esos lotes tampoco registraron inversión exploratoria alguna, frente a cerca de US$ 240 millones de inversión en explotación –algo más de la mitad de lo que el país invirtió ese año en desarrollar sus campos</w:t>
      </w:r>
      <w:r>
        <w:rPr>
          <w:lang w:val="es-PE"/>
        </w:rPr>
        <w:t>–</w:t>
      </w:r>
      <w:r w:rsidRPr="008E42E7">
        <w:rPr>
          <w:lang w:val="es-PE"/>
        </w:rPr>
        <w:t>. El esfuerzo se concentra en sostener la capacidad de entrega de yacimientos maduros</w:t>
      </w:r>
      <w:r>
        <w:rPr>
          <w:lang w:val="es-PE"/>
        </w:rPr>
        <w:t xml:space="preserve"> y hacerlos más eficientes</w:t>
      </w:r>
      <w:r w:rsidRPr="008E42E7">
        <w:rPr>
          <w:lang w:val="es-PE"/>
        </w:rPr>
        <w:t xml:space="preserve">, </w:t>
      </w:r>
      <w:r>
        <w:rPr>
          <w:lang w:val="es-PE"/>
        </w:rPr>
        <w:t xml:space="preserve">mas </w:t>
      </w:r>
      <w:r w:rsidRPr="008E42E7">
        <w:rPr>
          <w:lang w:val="es-PE"/>
        </w:rPr>
        <w:t>no en reponer reservas.</w:t>
      </w:r>
    </w:p>
    <w:p w14:paraId="55EB381F" w14:textId="42E56B96" w:rsidR="00B313C1" w:rsidRPr="008E42E7" w:rsidRDefault="00B313C1">
      <w:pPr>
        <w:keepLines/>
        <w:rPr>
          <w:lang w:val="es-PE"/>
        </w:rPr>
      </w:pPr>
      <w:r w:rsidRPr="008E42E7">
        <w:rPr>
          <w:lang w:val="es-PE"/>
        </w:rPr>
        <w:t xml:space="preserve">La principal explicación de esta situación </w:t>
      </w:r>
      <w:r w:rsidR="00D74817">
        <w:rPr>
          <w:lang w:val="es-PE"/>
        </w:rPr>
        <w:t>sería</w:t>
      </w:r>
      <w:r w:rsidRPr="008E42E7">
        <w:rPr>
          <w:lang w:val="es-PE"/>
        </w:rPr>
        <w:t xml:space="preserve"> que el contrato de concesión finaliza en un horizonte menor al necesario para recuperar la inversión. Según los operadores y las consultoras del sector, poner en producción un nuevo descubrimiento, incluyendo su infraestructura de procesamiento y transporte, toma en el Perú entre </w:t>
      </w:r>
      <w:r>
        <w:rPr>
          <w:lang w:val="es-PE"/>
        </w:rPr>
        <w:t xml:space="preserve">10 </w:t>
      </w:r>
      <w:r w:rsidRPr="008E42E7">
        <w:rPr>
          <w:lang w:val="es-PE"/>
        </w:rPr>
        <w:t xml:space="preserve">y </w:t>
      </w:r>
      <w:r>
        <w:rPr>
          <w:lang w:val="es-PE"/>
        </w:rPr>
        <w:t xml:space="preserve">15 </w:t>
      </w:r>
      <w:r w:rsidRPr="008E42E7">
        <w:rPr>
          <w:lang w:val="es-PE"/>
        </w:rPr>
        <w:t>años contados desde el inicio de la exploración. En casos particulares</w:t>
      </w:r>
      <w:r>
        <w:rPr>
          <w:lang w:val="es-PE"/>
        </w:rPr>
        <w:t>,</w:t>
      </w:r>
      <w:r w:rsidRPr="008E42E7">
        <w:rPr>
          <w:lang w:val="es-PE"/>
        </w:rPr>
        <w:t xml:space="preserve"> como el del yacimiento Kinteroni, en el </w:t>
      </w:r>
      <w:r>
        <w:rPr>
          <w:lang w:val="es-PE"/>
        </w:rPr>
        <w:t>L</w:t>
      </w:r>
      <w:r w:rsidRPr="008E42E7">
        <w:rPr>
          <w:lang w:val="es-PE"/>
        </w:rPr>
        <w:t xml:space="preserve">ote 57 (Camisea), que aprovechó la infraestructura de los lotes 88 y 56, el proceso tomó </w:t>
      </w:r>
      <w:r>
        <w:rPr>
          <w:lang w:val="es-PE"/>
        </w:rPr>
        <w:t xml:space="preserve">10 </w:t>
      </w:r>
      <w:r w:rsidRPr="008E42E7">
        <w:rPr>
          <w:lang w:val="es-PE"/>
        </w:rPr>
        <w:t>años</w:t>
      </w:r>
      <w:r>
        <w:rPr>
          <w:lang w:val="es-PE"/>
        </w:rPr>
        <w:t>,</w:t>
      </w:r>
      <w:r w:rsidRPr="008E42E7">
        <w:rPr>
          <w:lang w:val="es-PE"/>
        </w:rPr>
        <w:t xml:space="preserve"> desde la suscripción del contrato de licencia, en 2004, hasta el inicio de producción, en 2014, seis de ellos contados desde el descubrimiento. Si a ese plazo le sumamos el tiempo necesario para recuperar lo invertido, que tomaría entre ocho y diez años para una inversión en la selva </w:t>
      </w:r>
      <w:r>
        <w:rPr>
          <w:lang w:val="es-PE"/>
        </w:rPr>
        <w:t>–</w:t>
      </w:r>
      <w:r w:rsidRPr="008E42E7">
        <w:rPr>
          <w:lang w:val="es-PE"/>
        </w:rPr>
        <w:t xml:space="preserve">aproximadamente cuatro años más que en el noroeste debido a la complejidad logística–, el proceso completo suma al menos </w:t>
      </w:r>
      <w:r>
        <w:rPr>
          <w:lang w:val="es-PE"/>
        </w:rPr>
        <w:t xml:space="preserve">18 </w:t>
      </w:r>
      <w:r w:rsidRPr="008E42E7">
        <w:rPr>
          <w:lang w:val="es-PE"/>
        </w:rPr>
        <w:t>años. El contrato del Lote 88, el más grande del país y el único reservado de manera preferente al mercado interno, termina en 2040, de modo que, ni en el mejor de los casos, el consorcio de Camisea podría recuperar dentro del plazo vigente una nueva inversión exploratoria decidida hoy.</w:t>
      </w:r>
    </w:p>
    <w:p w14:paraId="3BD4DC6C" w14:textId="6E81ACD4" w:rsidR="00B313C1" w:rsidRPr="008E42E7" w:rsidRDefault="00B313C1">
      <w:pPr>
        <w:pStyle w:val="Prrafodelista"/>
        <w:keepNext/>
        <w:keepLines/>
        <w:spacing w:before="120" w:after="40"/>
        <w:rPr>
          <w:lang w:val="es-PE"/>
        </w:rPr>
      </w:pPr>
      <w:r>
        <w:rPr>
          <w:i/>
          <w:lang w:val="es-PE"/>
        </w:rPr>
        <w:t>“</w:t>
      </w:r>
      <w:r w:rsidRPr="008E42E7">
        <w:rPr>
          <w:i/>
          <w:lang w:val="es-PE"/>
        </w:rPr>
        <w:t>El inversionista […] ha venido a invertir para recuperar su dinero; si tengo cuatro años más y se va a acabar el contrato, ya no voy a poner más dinero porque no lo voy a recuperar</w:t>
      </w:r>
      <w:r>
        <w:rPr>
          <w:i/>
          <w:lang w:val="es-PE"/>
        </w:rPr>
        <w:t>”</w:t>
      </w:r>
      <w:r w:rsidRPr="008E42E7">
        <w:rPr>
          <w:i/>
          <w:lang w:val="es-PE"/>
        </w:rPr>
        <w:t>.</w:t>
      </w:r>
    </w:p>
    <w:p w14:paraId="7018E8EF" w14:textId="77777777" w:rsidR="00B313C1" w:rsidRPr="008E42E7" w:rsidRDefault="00B313C1">
      <w:pPr>
        <w:pStyle w:val="Prrafodelista"/>
        <w:keepLines/>
        <w:spacing w:after="200"/>
        <w:rPr>
          <w:lang w:val="es-PE"/>
        </w:rPr>
      </w:pPr>
      <w:r w:rsidRPr="008E42E7">
        <w:rPr>
          <w:i/>
          <w:color w:val="404040"/>
          <w:sz w:val="18"/>
          <w:lang w:val="es-PE"/>
        </w:rPr>
        <w:t>María Julia Aybar – Country manager de Perú LNG</w:t>
      </w:r>
    </w:p>
    <w:p w14:paraId="6A6522D2" w14:textId="6F85FF93" w:rsidR="00B313C1" w:rsidRDefault="00B313C1">
      <w:pPr>
        <w:keepLines/>
        <w:rPr>
          <w:lang w:val="es-PE"/>
        </w:rPr>
      </w:pPr>
      <w:r>
        <w:rPr>
          <w:lang w:val="es-PE"/>
        </w:rPr>
        <w:t>Esta situación se explica esencialmente por la estructura contractual que utiliza el país. Los contratos de Camisea son contratos de explotación que, por el diseño general establecido en la Ley Orgánica de Hidrocarburos (LOH), prevén una sola fase de proyecto: no conllevan un programa exploratorio asociado ni un régimen que reconozca la exploración dentro del área ya concesionada. No hay prohibición, pero tampoco obligación ni incentivo. El comportamiento del operador, por ende, es coherente con ese diseño y sus inversiones estarán destinadas a mantener la producción hasta el año en que finaliza su contrato. En consecuencia, resolver estas limitaciones requiere modificar la LOH, tanto para corregir los plazos contractuales –hoy fijados en cuarenta años improrrogables, contados desde la fecha efectiva del contrato– como para rediseñar los nuevos contratos de modo que promuevan la exploración durante todo el plazo de la concesión.</w:t>
      </w:r>
    </w:p>
    <w:p w14:paraId="7166BE6E" w14:textId="77777777" w:rsidR="00B313C1" w:rsidRPr="008E42E7" w:rsidRDefault="00B313C1">
      <w:pPr>
        <w:keepNext/>
        <w:keepLines/>
        <w:spacing w:before="200" w:after="0"/>
        <w:jc w:val="center"/>
        <w:rPr>
          <w:lang w:val="es-PE"/>
        </w:rPr>
      </w:pPr>
      <w:r w:rsidRPr="008E42E7">
        <w:rPr>
          <w:b/>
          <w:color w:val="15607F"/>
          <w:sz w:val="22"/>
          <w:lang w:val="es-PE"/>
        </w:rPr>
        <w:lastRenderedPageBreak/>
        <w:t>CAMISEA: PLAZO CONTRACTUAL Y VIDA ÚTIL DEL YACIMIENTO</w:t>
      </w:r>
    </w:p>
    <w:p w14:paraId="0DA474C1" w14:textId="77777777" w:rsidR="00B313C1" w:rsidRDefault="00B313C1">
      <w:pPr>
        <w:keepNext/>
        <w:keepLines/>
        <w:spacing w:after="40"/>
        <w:jc w:val="center"/>
      </w:pPr>
      <w:r>
        <w:rPr>
          <w:color w:val="595959"/>
          <w:sz w:val="18"/>
        </w:rPr>
        <w:t>Año de término</w:t>
      </w:r>
    </w:p>
    <w:tbl>
      <w:tblPr>
        <w:tblStyle w:val="Tablaconcuadrcula"/>
        <w:tblW w:w="0" w:type="auto"/>
        <w:tblLayout w:type="fixed"/>
        <w:tblLook w:val="04A0" w:firstRow="1" w:lastRow="0" w:firstColumn="1" w:lastColumn="0" w:noHBand="0" w:noVBand="1"/>
      </w:tblPr>
      <w:tblGrid>
        <w:gridCol w:w="2268"/>
        <w:gridCol w:w="2835"/>
        <w:gridCol w:w="3402"/>
      </w:tblGrid>
      <w:tr w:rsidR="00855697" w14:paraId="1BD0A1AE" w14:textId="77777777">
        <w:trPr>
          <w:cantSplit/>
          <w:tblHeader/>
        </w:trPr>
        <w:tc>
          <w:tcPr>
            <w:tcW w:w="2268" w:type="dxa"/>
            <w:shd w:val="clear" w:color="auto" w:fill="15607F"/>
          </w:tcPr>
          <w:p w14:paraId="791FCE13" w14:textId="77777777" w:rsidR="00B313C1" w:rsidRDefault="00B313C1">
            <w:pPr>
              <w:keepNext/>
              <w:jc w:val="center"/>
            </w:pPr>
            <w:r>
              <w:rPr>
                <w:b/>
                <w:color w:val="FFFFFF"/>
                <w:sz w:val="17"/>
              </w:rPr>
              <w:t>Lote</w:t>
            </w:r>
          </w:p>
        </w:tc>
        <w:tc>
          <w:tcPr>
            <w:tcW w:w="2835" w:type="dxa"/>
            <w:shd w:val="clear" w:color="auto" w:fill="15607F"/>
          </w:tcPr>
          <w:p w14:paraId="5431B76C" w14:textId="77777777" w:rsidR="00B313C1" w:rsidRDefault="00B313C1">
            <w:pPr>
              <w:keepNext/>
              <w:jc w:val="center"/>
            </w:pPr>
            <w:r>
              <w:rPr>
                <w:b/>
                <w:color w:val="FFFFFF"/>
                <w:sz w:val="17"/>
              </w:rPr>
              <w:t>Fin del contrato</w:t>
            </w:r>
          </w:p>
        </w:tc>
        <w:tc>
          <w:tcPr>
            <w:tcW w:w="3402" w:type="dxa"/>
            <w:shd w:val="clear" w:color="auto" w:fill="15607F"/>
          </w:tcPr>
          <w:p w14:paraId="12568247" w14:textId="77777777" w:rsidR="00B313C1" w:rsidRDefault="00B313C1">
            <w:pPr>
              <w:keepNext/>
              <w:jc w:val="center"/>
            </w:pPr>
            <w:r>
              <w:rPr>
                <w:b/>
                <w:color w:val="FFFFFF"/>
                <w:sz w:val="17"/>
              </w:rPr>
              <w:t>Vida útil del yacimiento</w:t>
            </w:r>
          </w:p>
        </w:tc>
      </w:tr>
      <w:tr w:rsidR="00855697" w14:paraId="2EC5E8D7" w14:textId="77777777">
        <w:trPr>
          <w:cantSplit/>
        </w:trPr>
        <w:tc>
          <w:tcPr>
            <w:tcW w:w="2268" w:type="dxa"/>
          </w:tcPr>
          <w:p w14:paraId="2DD7596B" w14:textId="77777777" w:rsidR="00B313C1" w:rsidRDefault="00B313C1">
            <w:pPr>
              <w:keepNext/>
              <w:jc w:val="left"/>
            </w:pPr>
            <w:r>
              <w:rPr>
                <w:sz w:val="17"/>
              </w:rPr>
              <w:t>Lote 88</w:t>
            </w:r>
          </w:p>
        </w:tc>
        <w:tc>
          <w:tcPr>
            <w:tcW w:w="2835" w:type="dxa"/>
          </w:tcPr>
          <w:p w14:paraId="398E231B" w14:textId="77777777" w:rsidR="00B313C1" w:rsidRDefault="00B313C1">
            <w:pPr>
              <w:keepNext/>
              <w:jc w:val="center"/>
            </w:pPr>
            <w:r>
              <w:rPr>
                <w:sz w:val="17"/>
              </w:rPr>
              <w:t>2040</w:t>
            </w:r>
          </w:p>
        </w:tc>
        <w:tc>
          <w:tcPr>
            <w:tcW w:w="3402" w:type="dxa"/>
          </w:tcPr>
          <w:p w14:paraId="1CE5965B" w14:textId="77777777" w:rsidR="00B313C1" w:rsidRDefault="00B313C1">
            <w:pPr>
              <w:keepNext/>
              <w:jc w:val="center"/>
            </w:pPr>
            <w:r>
              <w:rPr>
                <w:sz w:val="17"/>
              </w:rPr>
              <w:t>2047</w:t>
            </w:r>
          </w:p>
        </w:tc>
      </w:tr>
      <w:tr w:rsidR="00855697" w14:paraId="1A3DEE8C" w14:textId="77777777">
        <w:trPr>
          <w:cantSplit/>
        </w:trPr>
        <w:tc>
          <w:tcPr>
            <w:tcW w:w="2268" w:type="dxa"/>
          </w:tcPr>
          <w:p w14:paraId="79825A64" w14:textId="77777777" w:rsidR="00B313C1" w:rsidRDefault="00B313C1">
            <w:pPr>
              <w:keepNext/>
              <w:jc w:val="left"/>
            </w:pPr>
            <w:r>
              <w:rPr>
                <w:sz w:val="17"/>
              </w:rPr>
              <w:t>Lote 56</w:t>
            </w:r>
          </w:p>
        </w:tc>
        <w:tc>
          <w:tcPr>
            <w:tcW w:w="2835" w:type="dxa"/>
          </w:tcPr>
          <w:p w14:paraId="18D2A9D0" w14:textId="77777777" w:rsidR="00B313C1" w:rsidRDefault="00B313C1">
            <w:pPr>
              <w:keepNext/>
              <w:jc w:val="center"/>
            </w:pPr>
            <w:r>
              <w:rPr>
                <w:sz w:val="17"/>
              </w:rPr>
              <w:t>2044</w:t>
            </w:r>
          </w:p>
        </w:tc>
        <w:tc>
          <w:tcPr>
            <w:tcW w:w="3402" w:type="dxa"/>
          </w:tcPr>
          <w:p w14:paraId="64C95139" w14:textId="77777777" w:rsidR="00B313C1" w:rsidRDefault="00B313C1">
            <w:pPr>
              <w:keepNext/>
              <w:jc w:val="center"/>
            </w:pPr>
            <w:r>
              <w:rPr>
                <w:sz w:val="17"/>
              </w:rPr>
              <w:t>2047</w:t>
            </w:r>
          </w:p>
        </w:tc>
      </w:tr>
      <w:tr w:rsidR="00855697" w14:paraId="08C149CD" w14:textId="77777777">
        <w:trPr>
          <w:cantSplit/>
        </w:trPr>
        <w:tc>
          <w:tcPr>
            <w:tcW w:w="2268" w:type="dxa"/>
          </w:tcPr>
          <w:p w14:paraId="54F5277B" w14:textId="77777777" w:rsidR="00B313C1" w:rsidRDefault="00B313C1">
            <w:pPr>
              <w:keepNext/>
              <w:jc w:val="left"/>
            </w:pPr>
            <w:r>
              <w:rPr>
                <w:sz w:val="17"/>
              </w:rPr>
              <w:t>Lote 57</w:t>
            </w:r>
          </w:p>
        </w:tc>
        <w:tc>
          <w:tcPr>
            <w:tcW w:w="2835" w:type="dxa"/>
          </w:tcPr>
          <w:p w14:paraId="5BF8837B" w14:textId="77777777" w:rsidR="00B313C1" w:rsidRDefault="00B313C1">
            <w:pPr>
              <w:keepNext/>
              <w:jc w:val="center"/>
            </w:pPr>
            <w:r>
              <w:rPr>
                <w:sz w:val="17"/>
              </w:rPr>
              <w:t>2044</w:t>
            </w:r>
          </w:p>
        </w:tc>
        <w:tc>
          <w:tcPr>
            <w:tcW w:w="3402" w:type="dxa"/>
          </w:tcPr>
          <w:p w14:paraId="67D8F1CE" w14:textId="77777777" w:rsidR="00B313C1" w:rsidRDefault="00B313C1">
            <w:pPr>
              <w:keepNext/>
              <w:jc w:val="center"/>
            </w:pPr>
            <w:r>
              <w:rPr>
                <w:sz w:val="17"/>
              </w:rPr>
              <w:t>2047</w:t>
            </w:r>
          </w:p>
        </w:tc>
      </w:tr>
    </w:tbl>
    <w:p w14:paraId="7DEC1886" w14:textId="77777777" w:rsidR="00B313C1" w:rsidRPr="008E42E7" w:rsidRDefault="00B313C1">
      <w:pPr>
        <w:keepNext/>
        <w:keepLines/>
        <w:spacing w:after="0"/>
        <w:rPr>
          <w:lang w:val="es-PE"/>
        </w:rPr>
      </w:pPr>
      <w:r w:rsidRPr="008E42E7">
        <w:rPr>
          <w:i/>
          <w:color w:val="595959"/>
          <w:sz w:val="15"/>
          <w:lang w:val="es-PE"/>
        </w:rPr>
        <w:t>La vida útil corresponde a la estimación del regulador para el conjunto de los yacimientos de Camisea, por eso es la misma en los tres lotes. El Lote 88 abastece de manera preferente al mercado interno.</w:t>
      </w:r>
    </w:p>
    <w:p w14:paraId="6575BE92" w14:textId="5C6F4A32" w:rsidR="00B313C1" w:rsidRPr="008E42E7" w:rsidRDefault="00B313C1">
      <w:pPr>
        <w:keepLines/>
        <w:spacing w:after="200"/>
        <w:jc w:val="right"/>
        <w:rPr>
          <w:lang w:val="es-PE"/>
        </w:rPr>
      </w:pPr>
      <w:r w:rsidRPr="008E42E7">
        <w:rPr>
          <w:b/>
          <w:color w:val="404040"/>
          <w:sz w:val="15"/>
          <w:lang w:val="es-PE"/>
        </w:rPr>
        <w:t xml:space="preserve">FUENTE: Osinergmin, </w:t>
      </w:r>
      <w:r w:rsidRPr="004F3DB7">
        <w:rPr>
          <w:b/>
          <w:i/>
          <w:iCs/>
          <w:color w:val="404040"/>
          <w:sz w:val="15"/>
          <w:lang w:val="es-PE"/>
        </w:rPr>
        <w:t>Boletín Estadístico de Gas Natural 2024-II</w:t>
      </w:r>
    </w:p>
    <w:p w14:paraId="711CC479" w14:textId="500B4873" w:rsidR="00B313C1" w:rsidRPr="008E42E7" w:rsidRDefault="00B313C1">
      <w:pPr>
        <w:keepLines/>
        <w:rPr>
          <w:lang w:val="es-PE"/>
        </w:rPr>
      </w:pPr>
      <w:r>
        <w:rPr>
          <w:lang w:val="es-PE"/>
        </w:rPr>
        <w:t>En los últimos años, el debate público se ha centrado principalmente en los planes de ampliación de la vigencia de las concesiones de distribución de Cálidda y de transporte de TGP, que vencen en 2033 y 2034, respectivamente. Es necesario incluir en esa discusión la situación del contrato de explotación de yacimientos en Camisea. Así como el Lote 88 –destinado al mercado local– vence en 2040, los otros dos lotes lo harán en 2044. Esta situación no solo complica las inversiones en exploración, sino que afecta la capacidad de continuar la masificación, dado que grandes proyectos de industrialización, que serían una demanda ancla para seguir conectando hogares, requieren de contratos de largo plazo para poder tomar decisiones de inversión. Si las empresas productoras no pueden asegurar esa molécula, el riesgo para los inversionistas se incrementa drásticamente.</w:t>
      </w:r>
    </w:p>
    <w:p w14:paraId="77AA4333" w14:textId="77777777" w:rsidR="00B313C1" w:rsidRPr="008E42E7" w:rsidRDefault="00B313C1">
      <w:pPr>
        <w:keepLines/>
        <w:rPr>
          <w:lang w:val="es-PE"/>
        </w:rPr>
      </w:pPr>
      <w:r w:rsidRPr="008E42E7">
        <w:rPr>
          <w:highlight w:val="yellow"/>
          <w:lang w:val="es-PE"/>
        </w:rPr>
        <w:t>El tema, sin embargo, ya está sobre la mesa. En la XV Conferencia Gas Natural Perú, en agosto de 2026, la agenda de reactivación de la exploración presentada en el evento incluyó dos medidas dirigidas a este punto: extender el plazo del contrato hasta el límite económico del campo, con modificación del artículo 22 de la Ley Orgánica de Hidrocarburos, e introducir incentivos exploratorios dentro de los contratos de explotación. En la misma dirección, el proyecto de ley de delegación de facultades legislativas que el Ejecutivo remitió al Congreso el 28 de agosto de 2026 solicita, entre otras materias, promover la inversión privada en exploración, explotación y almacenamiento de hidrocarburos, optimizar los mecanismos contractuales y simplificar los procedimientos administrativos de la cadena de valor. La Ley Orgánica de Hidrocarburos rige desde 1993 sin una reforma integral, y esa delegación es la vía por la que su actualización podría concretarse dentro de un plazo acotado, aunque su aprobación en estas materias es incierta: en su paso por el Congreso, el dictamen aprobado en comisión acotó el pedido a seguridad ciudadana y al fenómeno de El Niño.</w:t>
      </w:r>
    </w:p>
    <w:p w14:paraId="59E0F56F" w14:textId="5BE7367F" w:rsidR="00B313C1" w:rsidRPr="008E42E7" w:rsidRDefault="00B313C1">
      <w:pPr>
        <w:keepNext/>
        <w:keepLines/>
        <w:spacing w:before="280" w:after="120"/>
        <w:rPr>
          <w:lang w:val="es-PE"/>
        </w:rPr>
      </w:pPr>
      <w:r>
        <w:rPr>
          <w:b/>
          <w:color w:val="1F3864"/>
          <w:sz w:val="24"/>
          <w:lang w:val="es-PE"/>
        </w:rPr>
        <w:t>La deflagración en el ducto y sus impactos: nuevas inversiones para la seguridad energética</w:t>
      </w:r>
    </w:p>
    <w:p w14:paraId="2634918C" w14:textId="41BD1C6C" w:rsidR="00B313C1" w:rsidRPr="008E42E7" w:rsidRDefault="00B313C1">
      <w:pPr>
        <w:keepLines/>
        <w:rPr>
          <w:lang w:val="es-PE"/>
        </w:rPr>
      </w:pPr>
      <w:r w:rsidRPr="008E42E7">
        <w:rPr>
          <w:lang w:val="es-PE"/>
        </w:rPr>
        <w:t xml:space="preserve">El </w:t>
      </w:r>
      <w:r>
        <w:rPr>
          <w:lang w:val="es-PE"/>
        </w:rPr>
        <w:t xml:space="preserve">primero </w:t>
      </w:r>
      <w:r w:rsidRPr="008E42E7">
        <w:rPr>
          <w:lang w:val="es-PE"/>
        </w:rPr>
        <w:t xml:space="preserve">de marzo de 2026, una deflagración en el kilómetro 43 del </w:t>
      </w:r>
      <w:r>
        <w:rPr>
          <w:lang w:val="es-PE"/>
        </w:rPr>
        <w:t>S</w:t>
      </w:r>
      <w:r w:rsidRPr="008E42E7">
        <w:rPr>
          <w:lang w:val="es-PE"/>
        </w:rPr>
        <w:t xml:space="preserve">istema de </w:t>
      </w:r>
      <w:r>
        <w:rPr>
          <w:lang w:val="es-PE"/>
        </w:rPr>
        <w:t>T</w:t>
      </w:r>
      <w:r w:rsidRPr="008E42E7">
        <w:rPr>
          <w:lang w:val="es-PE"/>
        </w:rPr>
        <w:t>ransporte de Camisea, en el distrito de Megantoni (Cusco), paralizó el transporte de gas natural y de líquidos de gas natural. El transporte de líquidos quedó totalmente interrumpido y se atendió con los inventarios de la planta de Pisco; el de gas natural operó durante casi medio mes con el producto que quedaba dentro del ducto, equivalente al 6 % del transporte regular. En marzo la producción de hidrocarburos cayó 35 %</w:t>
      </w:r>
      <w:r>
        <w:rPr>
          <w:lang w:val="es-PE"/>
        </w:rPr>
        <w:t xml:space="preserve">. </w:t>
      </w:r>
      <w:r w:rsidRPr="008E42E7">
        <w:rPr>
          <w:lang w:val="es-PE"/>
        </w:rPr>
        <w:t>Contando el efecto directo sobre el sector y el arrastre sobre</w:t>
      </w:r>
      <w:r>
        <w:rPr>
          <w:lang w:val="es-PE"/>
        </w:rPr>
        <w:t xml:space="preserve"> otros sectores como</w:t>
      </w:r>
      <w:r w:rsidRPr="008E42E7">
        <w:rPr>
          <w:lang w:val="es-PE"/>
        </w:rPr>
        <w:t xml:space="preserve"> manufactura y transporte, la interrupción </w:t>
      </w:r>
      <w:r>
        <w:rPr>
          <w:lang w:val="es-PE"/>
        </w:rPr>
        <w:t>le habría restado</w:t>
      </w:r>
      <w:r w:rsidRPr="008E42E7">
        <w:rPr>
          <w:lang w:val="es-PE"/>
        </w:rPr>
        <w:t xml:space="preserve"> entre uno y dos puntos porcentuales al producto bruto interno de marzo.</w:t>
      </w:r>
    </w:p>
    <w:p w14:paraId="39AFB493" w14:textId="0EF842A4" w:rsidR="00B313C1" w:rsidRDefault="00B313C1">
      <w:pPr>
        <w:keepNext/>
        <w:spacing w:before="160"/>
        <w:jc w:val="center"/>
      </w:pPr>
      <w:r>
        <w:rPr>
          <w:noProof/>
        </w:rPr>
        <w:lastRenderedPageBreak/>
        <w:drawing>
          <wp:inline distT="0" distB="0" distL="0" distR="0" wp14:anchorId="1D37C092" wp14:editId="7EE359E8">
            <wp:extent cx="4320000" cy="3125372"/>
            <wp:effectExtent l="0" t="0" r="0" b="0"/>
            <wp:docPr id="2110891832" name="Imagen 211089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98.png"/>
                    <pic:cNvPicPr/>
                  </pic:nvPicPr>
                  <pic:blipFill>
                    <a:blip r:embed="rId110"/>
                    <a:stretch>
                      <a:fillRect/>
                    </a:stretch>
                  </pic:blipFill>
                  <pic:spPr>
                    <a:xfrm>
                      <a:off x="0" y="0"/>
                      <a:ext cx="4320000" cy="3125372"/>
                    </a:xfrm>
                    <a:prstGeom prst="rect">
                      <a:avLst/>
                    </a:prstGeom>
                  </pic:spPr>
                </pic:pic>
              </a:graphicData>
            </a:graphic>
          </wp:inline>
        </w:drawing>
      </w:r>
    </w:p>
    <w:p w14:paraId="51838B5C" w14:textId="45DB1E00" w:rsidR="00B313C1" w:rsidRPr="008E42E7" w:rsidRDefault="00B313C1">
      <w:pPr>
        <w:keepLines/>
        <w:rPr>
          <w:lang w:val="es-PE"/>
        </w:rPr>
      </w:pPr>
      <w:r w:rsidRPr="008E42E7">
        <w:rPr>
          <w:lang w:val="es-PE"/>
        </w:rPr>
        <w:t xml:space="preserve">El racionamiento siguió un orden de prioridades: se protegieron el consumo residencial y comercial y el transporte público formal, y se recortaron la exportación, la generación eléctrica, la manufactura y el transporte regular de personas y mercancías. El transporte fue el primero en sentirlo por dos vías: los 530 mil vehículos que circulan con gas natural vehicular, y el gas licuado de petróleo </w:t>
      </w:r>
      <w:r>
        <w:rPr>
          <w:lang w:val="es-PE"/>
        </w:rPr>
        <w:t>–</w:t>
      </w:r>
      <w:r w:rsidRPr="008E42E7">
        <w:rPr>
          <w:lang w:val="es-PE"/>
        </w:rPr>
        <w:t>que mueve otros 650 mil vehículos y llega a siete millones de hogares</w:t>
      </w:r>
      <w:r>
        <w:rPr>
          <w:lang w:val="es-PE"/>
        </w:rPr>
        <w:t>–</w:t>
      </w:r>
      <w:r w:rsidRPr="008E42E7">
        <w:rPr>
          <w:lang w:val="es-PE"/>
        </w:rPr>
        <w:t xml:space="preserve"> cuyo abastecimiento depende del ducto de líquidos que el mismo evento dejó fuera de servicio. Entre ambos combustibles, la interrupción alcanzó a más de un tercio del parque automotor nacional.</w:t>
      </w:r>
    </w:p>
    <w:p w14:paraId="3E862303" w14:textId="11F0A4DD" w:rsidR="00B313C1" w:rsidRPr="008E42E7" w:rsidRDefault="00B313C1">
      <w:pPr>
        <w:keepLines/>
        <w:rPr>
          <w:lang w:val="es-PE"/>
        </w:rPr>
      </w:pPr>
      <w:r w:rsidRPr="008E42E7">
        <w:rPr>
          <w:lang w:val="es-PE"/>
        </w:rPr>
        <w:t>En la manufactura, el consumo eléctrico de las principales empresas cayó de manera drástica durante la primera semana de la emergencia, entre 30 % y 60 % según el segmento. Los más afectados fueron papel y cartón (-57 %), químicos y plásticos (-40 %), textiles, confecciones y calzado (-39 %), materiales de construcción (-38 %) y alimentos y bebidas (-33 %). Las empresas vinculadas a la producción de alimentos fueron priorizadas en el reparto del gas natural disponible desde la segunda semana. Algunas plantas no paralizaron la producción porque pudieron operar con combustibles sustitutos, aunque a precios muy elevados y con márgenes reducidos. Otras decidieron no producir por los altos costos a pesar de poder hacerlo, y atendieron a sus clientes con los inventarios disponibles.</w:t>
      </w:r>
    </w:p>
    <w:p w14:paraId="3AF9F4B8" w14:textId="1CC4269D" w:rsidR="00B313C1" w:rsidRPr="008E42E7" w:rsidRDefault="00B313C1">
      <w:pPr>
        <w:keepLines/>
        <w:rPr>
          <w:lang w:val="es-PE"/>
        </w:rPr>
      </w:pPr>
      <w:r w:rsidRPr="008E42E7">
        <w:rPr>
          <w:lang w:val="es-PE"/>
        </w:rPr>
        <w:t xml:space="preserve">El efecto también se sintió en el mercado eléctrico, donde el sobrecosto quedó registrado en el mercado </w:t>
      </w:r>
      <w:r w:rsidRPr="004F3DB7">
        <w:rPr>
          <w:i/>
          <w:iCs/>
          <w:lang w:val="es-PE"/>
        </w:rPr>
        <w:t>spot:</w:t>
      </w:r>
      <w:r w:rsidRPr="008E42E7">
        <w:rPr>
          <w:lang w:val="es-PE"/>
        </w:rPr>
        <w:t xml:space="preserve"> el costo marginal promedio pasó de US$ 28 por MWh en febrero a US$ 126 en marzo, y en algunos momentos superó los US$ 250 por MWh, cuando el sistema tuvo que operar con combustibles líquidos como el diésel. En abril, restablecido el suministro, volvió a US$ 24 por MWh.</w:t>
      </w:r>
    </w:p>
    <w:p w14:paraId="17C7A617" w14:textId="77777777" w:rsidR="00B313C1" w:rsidRDefault="00B313C1">
      <w:pPr>
        <w:keepNext/>
        <w:spacing w:before="160"/>
        <w:jc w:val="center"/>
      </w:pPr>
      <w:r>
        <w:rPr>
          <w:noProof/>
        </w:rPr>
        <w:lastRenderedPageBreak/>
        <w:drawing>
          <wp:inline distT="0" distB="0" distL="0" distR="0" wp14:anchorId="72FD1450" wp14:editId="720124CA">
            <wp:extent cx="4320000" cy="3027426"/>
            <wp:effectExtent l="0" t="0" r="0" b="0"/>
            <wp:docPr id="90110" name="Picture 9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99.png"/>
                    <pic:cNvPicPr/>
                  </pic:nvPicPr>
                  <pic:blipFill>
                    <a:blip r:embed="rId111"/>
                    <a:stretch>
                      <a:fillRect/>
                    </a:stretch>
                  </pic:blipFill>
                  <pic:spPr>
                    <a:xfrm>
                      <a:off x="0" y="0"/>
                      <a:ext cx="4320000" cy="3027426"/>
                    </a:xfrm>
                    <a:prstGeom prst="rect">
                      <a:avLst/>
                    </a:prstGeom>
                  </pic:spPr>
                </pic:pic>
              </a:graphicData>
            </a:graphic>
          </wp:inline>
        </w:drawing>
      </w:r>
    </w:p>
    <w:p w14:paraId="2AA06B22" w14:textId="59EA8DFF" w:rsidR="00B313C1" w:rsidRPr="008E42E7" w:rsidRDefault="00B313C1">
      <w:pPr>
        <w:keepLines/>
        <w:rPr>
          <w:lang w:val="es-PE"/>
        </w:rPr>
      </w:pPr>
      <w:r w:rsidRPr="008E42E7">
        <w:rPr>
          <w:lang w:val="es-PE"/>
        </w:rPr>
        <w:t xml:space="preserve">El Perú tuvo la suerte de que este acontecimiento ocurriera en un año de lluvias normales, con la generación hidroeléctrica disponible para cubrir el espacio que dejó el gas natural. En un escenario como el que se prevé para 2027, con un </w:t>
      </w:r>
      <w:r>
        <w:rPr>
          <w:lang w:val="es-PE"/>
        </w:rPr>
        <w:t>f</w:t>
      </w:r>
      <w:r w:rsidRPr="008E42E7">
        <w:rPr>
          <w:lang w:val="es-PE"/>
        </w:rPr>
        <w:t xml:space="preserve">enómeno </w:t>
      </w:r>
      <w:r>
        <w:rPr>
          <w:lang w:val="es-PE"/>
        </w:rPr>
        <w:t xml:space="preserve">de </w:t>
      </w:r>
      <w:r w:rsidRPr="008E42E7">
        <w:rPr>
          <w:lang w:val="es-PE"/>
        </w:rPr>
        <w:t>El Niño global que podría generar sequías en la sierra sur, el resultado habría sido mucho más grave: con poca agua y sin gas natural, el sistema habría perdido sus dos principales fuentes de generación a la vez, con riesgo real de racionamiento eléctrico para la mayoría de las industrias. Los fenómenos naturales, cada vez más recurrentes alrededor del mundo, deberían incentivar la búsqueda de soluciones para asegurar la confiabilidad del sistema. El trazado de los ductos atraviesa zonas de alta sismicidad y de lluvias intensas, lo que hace de este tipo de incidentes un peligro constante para la seguridad energética del Perú.</w:t>
      </w:r>
    </w:p>
    <w:p w14:paraId="673AD28A" w14:textId="77777777" w:rsidR="00B313C1" w:rsidRPr="008E42E7" w:rsidRDefault="00B313C1">
      <w:pPr>
        <w:keepNext/>
        <w:keepLines/>
        <w:spacing w:before="220" w:after="80"/>
        <w:rPr>
          <w:lang w:val="es-PE"/>
        </w:rPr>
      </w:pPr>
      <w:r w:rsidRPr="008E42E7">
        <w:rPr>
          <w:b/>
          <w:color w:val="15607F"/>
          <w:sz w:val="23"/>
          <w:lang w:val="es-PE"/>
        </w:rPr>
        <w:t>Las opciones para mitigar el riesgo</w:t>
      </w:r>
    </w:p>
    <w:p w14:paraId="56ABD425" w14:textId="09BA9A10" w:rsidR="00B313C1" w:rsidRPr="008E42E7" w:rsidRDefault="00B313C1">
      <w:pPr>
        <w:keepLines/>
        <w:rPr>
          <w:lang w:val="es-PE"/>
        </w:rPr>
      </w:pPr>
      <w:r w:rsidRPr="008E42E7">
        <w:rPr>
          <w:lang w:val="es-PE"/>
        </w:rPr>
        <w:t>El país discute hoy una cartera de proyectos de gas natural por miles de millones de dólares, orientada</w:t>
      </w:r>
      <w:r>
        <w:rPr>
          <w:lang w:val="es-PE"/>
        </w:rPr>
        <w:t>,</w:t>
      </w:r>
      <w:r w:rsidRPr="008E42E7">
        <w:rPr>
          <w:lang w:val="es-PE"/>
        </w:rPr>
        <w:t xml:space="preserve"> sobre todo</w:t>
      </w:r>
      <w:r>
        <w:rPr>
          <w:lang w:val="es-PE"/>
        </w:rPr>
        <w:t>,</w:t>
      </w:r>
      <w:r w:rsidRPr="008E42E7">
        <w:rPr>
          <w:lang w:val="es-PE"/>
        </w:rPr>
        <w:t xml:space="preserve"> a llevar el servicio a más regiones. La adenda de la concesión de Lima y Callao, por US$ 643 millones, y la concesión de distribución de Arequipa, Moquegua y Tacna, por US$ 236 millones, amplían cobertura aguas abajo. La extensión sur del </w:t>
      </w:r>
      <w:r>
        <w:rPr>
          <w:lang w:val="es-PE"/>
        </w:rPr>
        <w:t>S</w:t>
      </w:r>
      <w:r w:rsidRPr="008E42E7">
        <w:rPr>
          <w:lang w:val="es-PE"/>
        </w:rPr>
        <w:t xml:space="preserve">istema de </w:t>
      </w:r>
      <w:r>
        <w:rPr>
          <w:lang w:val="es-PE"/>
        </w:rPr>
        <w:t>T</w:t>
      </w:r>
      <w:r w:rsidRPr="008E42E7">
        <w:rPr>
          <w:lang w:val="es-PE"/>
        </w:rPr>
        <w:t xml:space="preserve">ransporte, con una inversión propuesta </w:t>
      </w:r>
      <w:r>
        <w:rPr>
          <w:lang w:val="es-PE"/>
        </w:rPr>
        <w:t>cercana a los US$ 2.100 millones</w:t>
      </w:r>
      <w:r w:rsidRPr="008E42E7">
        <w:rPr>
          <w:lang w:val="es-PE"/>
        </w:rPr>
        <w:t>, y el gasoducto regional del Cusco, por unos US$ 1.000 millones, agregan capacidad y alcance, pero corren por el mismo corredor que falló en marzo. Los dos siguientes son los únicos proyectos de la cartera que atacan el problema de la dependencia de un corredor único, con grandes diferencias en niveles de inversión, complejidad e implementación.</w:t>
      </w:r>
    </w:p>
    <w:p w14:paraId="18F66B62" w14:textId="77777777" w:rsidR="00B313C1" w:rsidRPr="008E42E7" w:rsidRDefault="00B313C1">
      <w:pPr>
        <w:keepNext/>
        <w:keepLines/>
        <w:spacing w:before="200" w:after="0"/>
        <w:jc w:val="center"/>
        <w:rPr>
          <w:lang w:val="es-PE"/>
        </w:rPr>
      </w:pPr>
      <w:r w:rsidRPr="008E42E7">
        <w:rPr>
          <w:b/>
          <w:color w:val="15607F"/>
          <w:sz w:val="22"/>
          <w:lang w:val="es-PE"/>
        </w:rPr>
        <w:lastRenderedPageBreak/>
        <w:t>LAS DOS OPCIONES QUE ATIENDEN LA DEPENDENCIA DE UN CORREDOR ÚNICO</w:t>
      </w:r>
    </w:p>
    <w:p w14:paraId="40823D35" w14:textId="77777777" w:rsidR="00B313C1" w:rsidRDefault="00B313C1">
      <w:pPr>
        <w:keepNext/>
        <w:keepLines/>
        <w:spacing w:after="40"/>
        <w:jc w:val="center"/>
      </w:pPr>
      <w:r>
        <w:rPr>
          <w:color w:val="595959"/>
          <w:sz w:val="18"/>
        </w:rPr>
        <w:t>Inversión estimada y estado</w:t>
      </w:r>
    </w:p>
    <w:tbl>
      <w:tblPr>
        <w:tblStyle w:val="Tablaconcuadrcula"/>
        <w:tblW w:w="0" w:type="auto"/>
        <w:tblLayout w:type="fixed"/>
        <w:tblLook w:val="04A0" w:firstRow="1" w:lastRow="0" w:firstColumn="1" w:lastColumn="0" w:noHBand="0" w:noVBand="1"/>
      </w:tblPr>
      <w:tblGrid>
        <w:gridCol w:w="2608"/>
        <w:gridCol w:w="1361"/>
        <w:gridCol w:w="2835"/>
        <w:gridCol w:w="1701"/>
      </w:tblGrid>
      <w:tr w:rsidR="00855697" w14:paraId="5A1AD4C0" w14:textId="77777777">
        <w:trPr>
          <w:cantSplit/>
          <w:tblHeader/>
        </w:trPr>
        <w:tc>
          <w:tcPr>
            <w:tcW w:w="2608" w:type="dxa"/>
            <w:shd w:val="clear" w:color="auto" w:fill="15607F"/>
          </w:tcPr>
          <w:p w14:paraId="5F72F358" w14:textId="77777777" w:rsidR="00B313C1" w:rsidRDefault="00B313C1">
            <w:pPr>
              <w:keepNext/>
              <w:jc w:val="center"/>
            </w:pPr>
            <w:r>
              <w:rPr>
                <w:b/>
                <w:color w:val="FFFFFF"/>
                <w:sz w:val="17"/>
              </w:rPr>
              <w:t>Opción</w:t>
            </w:r>
          </w:p>
        </w:tc>
        <w:tc>
          <w:tcPr>
            <w:tcW w:w="1361" w:type="dxa"/>
            <w:shd w:val="clear" w:color="auto" w:fill="15607F"/>
          </w:tcPr>
          <w:p w14:paraId="57EE4FAF" w14:textId="77777777" w:rsidR="00B313C1" w:rsidRDefault="00B313C1">
            <w:pPr>
              <w:keepNext/>
              <w:jc w:val="center"/>
            </w:pPr>
            <w:r>
              <w:rPr>
                <w:b/>
                <w:color w:val="FFFFFF"/>
                <w:sz w:val="17"/>
              </w:rPr>
              <w:t>Inversión</w:t>
            </w:r>
          </w:p>
        </w:tc>
        <w:tc>
          <w:tcPr>
            <w:tcW w:w="2835" w:type="dxa"/>
            <w:shd w:val="clear" w:color="auto" w:fill="15607F"/>
          </w:tcPr>
          <w:p w14:paraId="6C73C8CF" w14:textId="77777777" w:rsidR="00B313C1" w:rsidRDefault="00B313C1">
            <w:pPr>
              <w:keepNext/>
              <w:jc w:val="center"/>
            </w:pPr>
            <w:r>
              <w:rPr>
                <w:b/>
                <w:color w:val="FFFFFF"/>
                <w:sz w:val="17"/>
              </w:rPr>
              <w:t>Qué aporta</w:t>
            </w:r>
          </w:p>
        </w:tc>
        <w:tc>
          <w:tcPr>
            <w:tcW w:w="1701" w:type="dxa"/>
            <w:shd w:val="clear" w:color="auto" w:fill="15607F"/>
          </w:tcPr>
          <w:p w14:paraId="30EB9E0B" w14:textId="77777777" w:rsidR="00B313C1" w:rsidRDefault="00B313C1">
            <w:pPr>
              <w:keepNext/>
              <w:jc w:val="center"/>
            </w:pPr>
            <w:r>
              <w:rPr>
                <w:b/>
                <w:color w:val="FFFFFF"/>
                <w:sz w:val="17"/>
              </w:rPr>
              <w:t>Estado</w:t>
            </w:r>
          </w:p>
        </w:tc>
      </w:tr>
      <w:tr w:rsidR="00855697" w:rsidRPr="001D477C" w14:paraId="1B6C4D75" w14:textId="77777777">
        <w:trPr>
          <w:cantSplit/>
        </w:trPr>
        <w:tc>
          <w:tcPr>
            <w:tcW w:w="2608" w:type="dxa"/>
          </w:tcPr>
          <w:p w14:paraId="5260B1E6" w14:textId="7DA6A336" w:rsidR="00B313C1" w:rsidRPr="008E42E7" w:rsidRDefault="00B313C1">
            <w:pPr>
              <w:keepNext/>
              <w:jc w:val="left"/>
              <w:rPr>
                <w:lang w:val="es-PE"/>
              </w:rPr>
            </w:pPr>
            <w:r w:rsidRPr="008E42E7">
              <w:rPr>
                <w:sz w:val="17"/>
                <w:lang w:val="es-PE"/>
              </w:rPr>
              <w:t>SIT-Gas</w:t>
            </w:r>
          </w:p>
        </w:tc>
        <w:tc>
          <w:tcPr>
            <w:tcW w:w="1361" w:type="dxa"/>
          </w:tcPr>
          <w:p w14:paraId="6295B0D3" w14:textId="77777777" w:rsidR="00B313C1" w:rsidRDefault="00B313C1">
            <w:pPr>
              <w:keepNext/>
              <w:jc w:val="center"/>
            </w:pPr>
            <w:r>
              <w:rPr>
                <w:sz w:val="17"/>
              </w:rPr>
              <w:t>US$ 4.300 millones</w:t>
            </w:r>
          </w:p>
        </w:tc>
        <w:tc>
          <w:tcPr>
            <w:tcW w:w="2835" w:type="dxa"/>
          </w:tcPr>
          <w:p w14:paraId="23AD7A8D" w14:textId="77777777" w:rsidR="00B313C1" w:rsidRPr="008E42E7" w:rsidRDefault="00B313C1">
            <w:pPr>
              <w:keepNext/>
              <w:jc w:val="center"/>
              <w:rPr>
                <w:lang w:val="es-PE"/>
              </w:rPr>
            </w:pPr>
            <w:r w:rsidRPr="008E42E7">
              <w:rPr>
                <w:sz w:val="17"/>
                <w:lang w:val="es-PE"/>
              </w:rPr>
              <w:t>Ruta alterna por un trazado distinto, además de nuevos desarrollos</w:t>
            </w:r>
          </w:p>
        </w:tc>
        <w:tc>
          <w:tcPr>
            <w:tcW w:w="1701" w:type="dxa"/>
          </w:tcPr>
          <w:p w14:paraId="51433C47" w14:textId="77777777" w:rsidR="00B313C1" w:rsidRPr="008E42E7" w:rsidRDefault="00B313C1">
            <w:pPr>
              <w:keepNext/>
              <w:jc w:val="center"/>
              <w:rPr>
                <w:lang w:val="es-PE"/>
              </w:rPr>
            </w:pPr>
            <w:r w:rsidRPr="008E42E7">
              <w:rPr>
                <w:sz w:val="17"/>
                <w:lang w:val="es-PE"/>
              </w:rPr>
              <w:t>En formulación; buena pro estimada para 2030</w:t>
            </w:r>
          </w:p>
        </w:tc>
      </w:tr>
      <w:tr w:rsidR="00855697" w:rsidRPr="001D477C" w14:paraId="612A6C35" w14:textId="77777777">
        <w:trPr>
          <w:cantSplit/>
        </w:trPr>
        <w:tc>
          <w:tcPr>
            <w:tcW w:w="2608" w:type="dxa"/>
          </w:tcPr>
          <w:p w14:paraId="24E436EE" w14:textId="77777777" w:rsidR="00B313C1" w:rsidRPr="008E42E7" w:rsidRDefault="00B313C1">
            <w:pPr>
              <w:keepNext/>
              <w:jc w:val="left"/>
              <w:rPr>
                <w:lang w:val="es-PE"/>
              </w:rPr>
            </w:pPr>
            <w:r w:rsidRPr="008E42E7">
              <w:rPr>
                <w:sz w:val="17"/>
                <w:lang w:val="es-PE"/>
              </w:rPr>
              <w:t>Planta de regasificación y almacenamiento costera</w:t>
            </w:r>
          </w:p>
        </w:tc>
        <w:tc>
          <w:tcPr>
            <w:tcW w:w="1361" w:type="dxa"/>
          </w:tcPr>
          <w:p w14:paraId="621C0F7E" w14:textId="77777777" w:rsidR="00B313C1" w:rsidRDefault="00B313C1">
            <w:pPr>
              <w:keepNext/>
              <w:jc w:val="center"/>
            </w:pPr>
            <w:r>
              <w:rPr>
                <w:sz w:val="17"/>
              </w:rPr>
              <w:t>US$ 500-600 millones</w:t>
            </w:r>
          </w:p>
        </w:tc>
        <w:tc>
          <w:tcPr>
            <w:tcW w:w="2835" w:type="dxa"/>
          </w:tcPr>
          <w:p w14:paraId="698B361A" w14:textId="7CD04740" w:rsidR="00B313C1" w:rsidRPr="008E42E7" w:rsidRDefault="00B313C1">
            <w:pPr>
              <w:keepNext/>
              <w:jc w:val="center"/>
              <w:rPr>
                <w:lang w:val="es-PE"/>
              </w:rPr>
            </w:pPr>
            <w:r w:rsidRPr="008E42E7">
              <w:rPr>
                <w:sz w:val="17"/>
                <w:lang w:val="es-PE"/>
              </w:rPr>
              <w:t xml:space="preserve">Segundo punto de entrada al </w:t>
            </w:r>
            <w:r>
              <w:rPr>
                <w:sz w:val="17"/>
                <w:lang w:val="es-PE"/>
              </w:rPr>
              <w:t>S</w:t>
            </w:r>
            <w:r w:rsidRPr="008E42E7">
              <w:rPr>
                <w:sz w:val="17"/>
                <w:lang w:val="es-PE"/>
              </w:rPr>
              <w:t>istema, aguas abajo del tramo que falló</w:t>
            </w:r>
          </w:p>
        </w:tc>
        <w:tc>
          <w:tcPr>
            <w:tcW w:w="1701" w:type="dxa"/>
          </w:tcPr>
          <w:p w14:paraId="1CA781C7" w14:textId="77777777" w:rsidR="00B313C1" w:rsidRPr="008E42E7" w:rsidRDefault="00B313C1">
            <w:pPr>
              <w:keepNext/>
              <w:jc w:val="center"/>
              <w:rPr>
                <w:lang w:val="es-PE"/>
              </w:rPr>
            </w:pPr>
            <w:r w:rsidRPr="008E42E7">
              <w:rPr>
                <w:sz w:val="17"/>
                <w:lang w:val="es-PE"/>
              </w:rPr>
              <w:t>Anunciada en marzo y relanzada en setiembre de 2026; en etapa de concepto</w:t>
            </w:r>
          </w:p>
        </w:tc>
      </w:tr>
    </w:tbl>
    <w:p w14:paraId="338620F2" w14:textId="77777777" w:rsidR="00B313C1" w:rsidRPr="008E42E7" w:rsidRDefault="00B313C1">
      <w:pPr>
        <w:keepNext/>
        <w:spacing w:after="0"/>
        <w:rPr>
          <w:lang w:val="es-PE"/>
        </w:rPr>
      </w:pPr>
    </w:p>
    <w:p w14:paraId="3BAAA8C6" w14:textId="77777777" w:rsidR="00B313C1" w:rsidRPr="008E42E7" w:rsidRDefault="00B313C1">
      <w:pPr>
        <w:keepNext/>
        <w:keepLines/>
        <w:spacing w:after="0"/>
        <w:rPr>
          <w:lang w:val="es-PE"/>
        </w:rPr>
      </w:pPr>
      <w:r w:rsidRPr="008E42E7">
        <w:rPr>
          <w:i/>
          <w:color w:val="595959"/>
          <w:sz w:val="15"/>
          <w:lang w:val="es-PE"/>
        </w:rPr>
        <w:t>La inversión corresponde al CAPEX. El monto de la planta de regasificación proviene de la propuesta formulada por el regulador en mayo de 2026.</w:t>
      </w:r>
    </w:p>
    <w:p w14:paraId="1D198B00" w14:textId="77777777" w:rsidR="00B313C1" w:rsidRPr="008E42E7" w:rsidRDefault="00B313C1">
      <w:pPr>
        <w:keepLines/>
        <w:spacing w:after="200"/>
        <w:jc w:val="right"/>
        <w:rPr>
          <w:lang w:val="es-PE"/>
        </w:rPr>
      </w:pPr>
      <w:r w:rsidRPr="008E42E7">
        <w:rPr>
          <w:b/>
          <w:color w:val="404040"/>
          <w:sz w:val="15"/>
          <w:lang w:val="es-PE"/>
        </w:rPr>
        <w:t>FUENTE: ProInversión; Ministerio de Energía y Minas; Osinergmin</w:t>
      </w:r>
    </w:p>
    <w:p w14:paraId="77F63505" w14:textId="673F0D75" w:rsidR="00B313C1" w:rsidRPr="008E42E7" w:rsidRDefault="00B313C1">
      <w:pPr>
        <w:keepLines/>
        <w:rPr>
          <w:lang w:val="es-PE"/>
        </w:rPr>
      </w:pPr>
      <w:r w:rsidRPr="008E42E7">
        <w:rPr>
          <w:lang w:val="es-PE"/>
        </w:rPr>
        <w:t xml:space="preserve">El SIT-Gas </w:t>
      </w:r>
      <w:r>
        <w:rPr>
          <w:lang w:val="es-PE"/>
        </w:rPr>
        <w:t>–</w:t>
      </w:r>
      <w:r w:rsidRPr="008E42E7">
        <w:rPr>
          <w:lang w:val="es-PE"/>
        </w:rPr>
        <w:t>que busca una nueva ruta de abastecimiento de gas al sur del país a través de un ducto</w:t>
      </w:r>
      <w:r>
        <w:rPr>
          <w:lang w:val="es-PE"/>
        </w:rPr>
        <w:t>–</w:t>
      </w:r>
      <w:r w:rsidRPr="008E42E7">
        <w:rPr>
          <w:lang w:val="es-PE"/>
        </w:rPr>
        <w:t xml:space="preserve"> resuelve el problema de manera estructural, pero su adjudicación está estimada para 2030 y su construcción tomaría varios años más. La planta de regasificación cuesta una fracción y podría ejecutarse en menos de dos años. Algunos países de la región que enfrentan problemas similares </w:t>
      </w:r>
      <w:r>
        <w:rPr>
          <w:lang w:val="es-PE"/>
        </w:rPr>
        <w:t>–</w:t>
      </w:r>
      <w:r w:rsidRPr="008E42E7">
        <w:rPr>
          <w:lang w:val="es-PE"/>
        </w:rPr>
        <w:t>un solo punto de entrada de gas en zonas específicas</w:t>
      </w:r>
      <w:r>
        <w:rPr>
          <w:lang w:val="es-PE"/>
        </w:rPr>
        <w:t>–</w:t>
      </w:r>
      <w:r w:rsidRPr="008E42E7">
        <w:rPr>
          <w:lang w:val="es-PE"/>
        </w:rPr>
        <w:t xml:space="preserve"> han tomado decisiones de este tipo. Colombia, por ejemplo, recientemente anunció una inversión de US$ 150 millones en su costa del Pacífico para regasificar 60 millones de pies cúbicos diarios ampliables, justificada como redundancia geográfica. Evaluar ambas opciones con el mismo rigor permitiría decidir con criterio de costo y de plazo.</w:t>
      </w:r>
    </w:p>
    <w:p w14:paraId="3B5CFF98" w14:textId="77777777" w:rsidR="00B313C1" w:rsidRPr="008E42E7" w:rsidRDefault="00B313C1">
      <w:pPr>
        <w:keepNext/>
        <w:keepLines/>
        <w:spacing w:before="220" w:after="80"/>
        <w:rPr>
          <w:lang w:val="es-PE"/>
        </w:rPr>
      </w:pPr>
      <w:r w:rsidRPr="008E42E7">
        <w:rPr>
          <w:b/>
          <w:color w:val="15607F"/>
          <w:sz w:val="23"/>
          <w:lang w:val="es-PE"/>
        </w:rPr>
        <w:t>La inversión en almacenamiento de gas natural</w:t>
      </w:r>
    </w:p>
    <w:p w14:paraId="79C650F1" w14:textId="49FD374B" w:rsidR="00B313C1" w:rsidRPr="008E42E7" w:rsidRDefault="00B313C1">
      <w:pPr>
        <w:keepLines/>
        <w:rPr>
          <w:lang w:val="es-PE"/>
        </w:rPr>
      </w:pPr>
      <w:r w:rsidRPr="008E42E7">
        <w:rPr>
          <w:lang w:val="es-PE"/>
        </w:rPr>
        <w:t xml:space="preserve">Una vía alterna no resuelve por sí sola el problema. Un ducto nuevo exige una inversión elevada y una ejecución compleja, y entre que un sistema falla y que una ruta alternativa entra en operación median horas o días; en ese intervalo lo único que sostiene el suministro es el inventario. En marzo de 2026 eso quedó demostrado: mientras Lima perdía el 90 % de su suministro, las concesiones abastecidas por transporte virtual desde la planta de Pampa Melchorita </w:t>
      </w:r>
      <w:r>
        <w:rPr>
          <w:lang w:val="es-PE"/>
        </w:rPr>
        <w:t>–</w:t>
      </w:r>
      <w:r w:rsidRPr="008E42E7">
        <w:rPr>
          <w:lang w:val="es-PE"/>
        </w:rPr>
        <w:t>la del Norte y la del Sur Oeste</w:t>
      </w:r>
      <w:r>
        <w:rPr>
          <w:lang w:val="es-PE"/>
        </w:rPr>
        <w:t>–</w:t>
      </w:r>
      <w:r w:rsidRPr="008E42E7">
        <w:rPr>
          <w:lang w:val="es-PE"/>
        </w:rPr>
        <w:t xml:space="preserve"> siguieron operando con cargo a esos inventarios y a la capacidad criogénica de sus estaciones de regasificación.</w:t>
      </w:r>
    </w:p>
    <w:p w14:paraId="481C2EE0" w14:textId="1849ABCE" w:rsidR="00B313C1" w:rsidRPr="008E42E7" w:rsidRDefault="00B313C1">
      <w:pPr>
        <w:keepLines/>
        <w:rPr>
          <w:lang w:val="es-PE"/>
        </w:rPr>
      </w:pPr>
      <w:r w:rsidRPr="008E42E7">
        <w:rPr>
          <w:lang w:val="es-PE"/>
        </w:rPr>
        <w:t xml:space="preserve">La capacidad de almacenamiento de gas natural del país es pequeña, y buena parte de lo que se cita como tal no cumple esa función. Los dos tanques de Pampa Melchorita </w:t>
      </w:r>
      <w:r>
        <w:rPr>
          <w:lang w:val="es-PE"/>
        </w:rPr>
        <w:t>–</w:t>
      </w:r>
      <w:r w:rsidRPr="008E42E7">
        <w:rPr>
          <w:lang w:val="es-PE"/>
        </w:rPr>
        <w:t>130 mil metros cúbicos de gas natural licuado cada uno</w:t>
      </w:r>
      <w:r>
        <w:rPr>
          <w:lang w:val="es-PE"/>
        </w:rPr>
        <w:t>–</w:t>
      </w:r>
      <w:r w:rsidRPr="008E42E7">
        <w:rPr>
          <w:lang w:val="es-PE"/>
        </w:rPr>
        <w:t xml:space="preserve"> equivalen a unos 5.500 millones de pies cúbicos de gas, poco más de seis días del consumo del mercado interno. Pero son existencias de trabajo de una planta privada de licuefacción: no hay instalación que regasifique ese volumen y lo devuelva al sistema, y su única salida al mercado interno son los camiones cisterna, que despachan del orden de 20 millones de pies cúbicos diarios, cerca del 2 % del consumo interno. Las estaciones de regasificación de las concesiones abastecidas por camión sí tienen almacenamiento propio, aunque no existe un registro público de su capacidad. En marzo de 2026 fue suficiente: durante los 14 días de restricción, la Concesión Norte mantuvo el suministro sin interrupciones gracias a ese inventario y al GNL de Pampa Melchorita, infraestructura que funcionó como respaldo. Es, sin embargo, una capacidad que la tarifa no remunera como respaldo, por lo que no hay incentivo para ampliarla. El único almacenamiento que el sistema reconoce como propio es el gas presurizado dentro del ducto, que no supera el equivalente a un día de consumo.</w:t>
      </w:r>
    </w:p>
    <w:p w14:paraId="7C3F34FE" w14:textId="67337E70" w:rsidR="00B313C1" w:rsidRPr="008E42E7" w:rsidRDefault="00B313C1">
      <w:pPr>
        <w:keepLines/>
        <w:rPr>
          <w:lang w:val="es-PE"/>
        </w:rPr>
      </w:pPr>
      <w:r w:rsidRPr="008E42E7">
        <w:rPr>
          <w:lang w:val="es-PE"/>
        </w:rPr>
        <w:lastRenderedPageBreak/>
        <w:t xml:space="preserve">El estándar en los países con gran capacidad es el almacenamiento subterráneo: inyectar gas natural en yacimientos agotados, acuíferos o cavernas de sal, que funcionan como depósitos naturales de los que se extrae cuando la demanda sube o el suministro se interrumpe. Es la solución más barata por unidad almacenada y la que permite guardar volúmenes de meses, no de días. En el Perú no se ha desarrollado. Medida como capacidad de almacenamiento sobre consumo diario, Austria dispone de más de trescientos días </w:t>
      </w:r>
      <w:r>
        <w:rPr>
          <w:lang w:val="es-PE"/>
        </w:rPr>
        <w:t>–</w:t>
      </w:r>
      <w:r w:rsidRPr="008E42E7">
        <w:rPr>
          <w:lang w:val="es-PE"/>
        </w:rPr>
        <w:t>almacena en yacimientos agotados y funciona como centro de distribución para Europa Central, de modo que guarda gas también para sus vecinos</w:t>
      </w:r>
      <w:r>
        <w:rPr>
          <w:lang w:val="es-PE"/>
        </w:rPr>
        <w:t>–</w:t>
      </w:r>
      <w:r w:rsidRPr="008E42E7">
        <w:rPr>
          <w:lang w:val="es-PE"/>
        </w:rPr>
        <w:t xml:space="preserve"> y los grandes consumidores europeos </w:t>
      </w:r>
      <w:r>
        <w:rPr>
          <w:lang w:val="es-PE"/>
        </w:rPr>
        <w:t>–</w:t>
      </w:r>
      <w:r w:rsidRPr="008E42E7">
        <w:rPr>
          <w:lang w:val="es-PE"/>
        </w:rPr>
        <w:t>Francia, Italia y Alemania</w:t>
      </w:r>
      <w:r>
        <w:rPr>
          <w:lang w:val="es-PE"/>
        </w:rPr>
        <w:t>–</w:t>
      </w:r>
      <w:r w:rsidRPr="008E42E7">
        <w:rPr>
          <w:lang w:val="es-PE"/>
        </w:rPr>
        <w:t xml:space="preserve"> de alrededor de noventa. España, que, como ciertas zonas del Perú, depende del gas natural licuado, tiene treinta y cuatro. México ilustra el otro extremo y una lección útil: se fijó una meta de cinco días para 2026 y alcanzó dos, porque la meta no vino acompañada de un vehículo de inversión.</w:t>
      </w:r>
    </w:p>
    <w:p w14:paraId="70694EF2" w14:textId="77777777" w:rsidR="00B313C1" w:rsidRDefault="00B313C1">
      <w:pPr>
        <w:keepNext/>
        <w:spacing w:before="160"/>
        <w:jc w:val="center"/>
      </w:pPr>
      <w:r>
        <w:rPr>
          <w:noProof/>
        </w:rPr>
        <w:drawing>
          <wp:inline distT="0" distB="0" distL="0" distR="0" wp14:anchorId="30ED5098" wp14:editId="1B39B0C3">
            <wp:extent cx="4320000" cy="3036770"/>
            <wp:effectExtent l="0" t="0" r="0" b="0"/>
            <wp:docPr id="90111" name="Picture 9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00.png"/>
                    <pic:cNvPicPr/>
                  </pic:nvPicPr>
                  <pic:blipFill>
                    <a:blip r:embed="rId112"/>
                    <a:stretch>
                      <a:fillRect/>
                    </a:stretch>
                  </pic:blipFill>
                  <pic:spPr>
                    <a:xfrm>
                      <a:off x="0" y="0"/>
                      <a:ext cx="4320000" cy="3036770"/>
                    </a:xfrm>
                    <a:prstGeom prst="rect">
                      <a:avLst/>
                    </a:prstGeom>
                  </pic:spPr>
                </pic:pic>
              </a:graphicData>
            </a:graphic>
          </wp:inline>
        </w:drawing>
      </w:r>
    </w:p>
    <w:p w14:paraId="2937AE01" w14:textId="6B97CD80" w:rsidR="00B313C1" w:rsidRPr="008E42E7" w:rsidRDefault="00B313C1">
      <w:pPr>
        <w:keepLines/>
        <w:rPr>
          <w:lang w:val="es-PE"/>
        </w:rPr>
      </w:pPr>
      <w:r w:rsidRPr="008E42E7">
        <w:rPr>
          <w:lang w:val="es-PE"/>
        </w:rPr>
        <w:t>El caso de los combustibles líquidos funciona como advertencia de la misma problemática que sufrió México: no basta con exigir la capacidad de inventarios. El reglamento de comercialización obliga a los distribuidores mayoristas a mantener una existencia media mensual mínima de quince días de su despacho promedio, y nunca menos de cinco días por planta. La práctica es otra: en agosto de 2026 el ministerio reconoció que los inventarios de diésel se sitúan entre uno y medio y tres días, y anunció una norma para elevarlos a por lo menos siete. La obligación, además, ha sido exonerada por acto administrativo en varias oportunidades, la más reciente en junio de 2026. Una obligación sin plan de inversiones detrás no se cumple. Lo que hace falta es un plan que derive en inversiones reguladas o supervisadas, con responsable, plazo y fuente de financiamiento identificados, empezando por definir cuántos días de consumo cubrir y con qué tecnología, un estimado que hoy no existe en ningún documento oficial.</w:t>
      </w:r>
    </w:p>
    <w:p w14:paraId="581B2352" w14:textId="558CD1DA" w:rsidR="00B313C1" w:rsidRPr="008E42E7" w:rsidRDefault="00B313C1">
      <w:pPr>
        <w:keepLines/>
        <w:rPr>
          <w:lang w:val="es-PE"/>
        </w:rPr>
      </w:pPr>
      <w:r w:rsidRPr="008E42E7">
        <w:rPr>
          <w:lang w:val="es-PE"/>
        </w:rPr>
        <w:t>El gas natural parte</w:t>
      </w:r>
      <w:r>
        <w:rPr>
          <w:lang w:val="es-PE"/>
        </w:rPr>
        <w:t>,</w:t>
      </w:r>
      <w:r w:rsidRPr="008E42E7">
        <w:rPr>
          <w:lang w:val="es-PE"/>
        </w:rPr>
        <w:t xml:space="preserve"> además</w:t>
      </w:r>
      <w:r>
        <w:rPr>
          <w:lang w:val="es-PE"/>
        </w:rPr>
        <w:t>,</w:t>
      </w:r>
      <w:r w:rsidRPr="008E42E7">
        <w:rPr>
          <w:lang w:val="es-PE"/>
        </w:rPr>
        <w:t xml:space="preserve"> con una ventaja para ese plan: su cadena tiene puntos específicos </w:t>
      </w:r>
      <w:r>
        <w:rPr>
          <w:lang w:val="es-PE"/>
        </w:rPr>
        <w:t>–</w:t>
      </w:r>
      <w:r w:rsidRPr="008E42E7">
        <w:rPr>
          <w:lang w:val="es-PE"/>
        </w:rPr>
        <w:t xml:space="preserve">la planta de licuefacción, las estaciones de regasificación de las concesiones, los </w:t>
      </w:r>
      <w:r w:rsidRPr="004F3DB7">
        <w:rPr>
          <w:i/>
          <w:iCs/>
          <w:lang w:val="es-PE"/>
        </w:rPr>
        <w:t>city gates–</w:t>
      </w:r>
      <w:r>
        <w:rPr>
          <w:i/>
          <w:iCs/>
          <w:lang w:val="es-PE"/>
        </w:rPr>
        <w:t>,</w:t>
      </w:r>
      <w:r w:rsidRPr="008E42E7">
        <w:rPr>
          <w:lang w:val="es-PE"/>
        </w:rPr>
        <w:t xml:space="preserve"> donde los inventarios se pueden constituir, medir y verificar sin un esfuerzo exagerado de fiscalización, a diferencia del mercado de combustibles líquidos y gas licuado de petróleo, con decenas de miles de agentes registrados. Hoy, para el gas natural, no existe obligación de inventario ni declaración de interés ni norma de emergencia; y la cartera de proyectos de ProInversión no contiene ninguna iniciativa de almacenamiento.</w:t>
      </w:r>
    </w:p>
    <w:p w14:paraId="2426DB28" w14:textId="77777777" w:rsidR="00B313C1" w:rsidRPr="008E42E7" w:rsidRDefault="00B313C1">
      <w:pPr>
        <w:keepNext/>
        <w:keepLines/>
        <w:spacing w:before="220" w:after="80"/>
        <w:rPr>
          <w:lang w:val="es-PE"/>
        </w:rPr>
      </w:pPr>
      <w:r w:rsidRPr="008E42E7">
        <w:rPr>
          <w:b/>
          <w:color w:val="15607F"/>
          <w:sz w:val="23"/>
          <w:lang w:val="es-PE"/>
        </w:rPr>
        <w:lastRenderedPageBreak/>
        <w:t>La planta de regasificación</w:t>
      </w:r>
    </w:p>
    <w:p w14:paraId="01B24342" w14:textId="19DFDD5F" w:rsidR="00B313C1" w:rsidRPr="008E42E7" w:rsidRDefault="00B313C1">
      <w:pPr>
        <w:keepLines/>
        <w:rPr>
          <w:lang w:val="es-PE"/>
        </w:rPr>
      </w:pPr>
      <w:r w:rsidRPr="008E42E7">
        <w:rPr>
          <w:lang w:val="es-PE"/>
        </w:rPr>
        <w:t xml:space="preserve">En marzo de 2026, en plena emergencia, el ministerio anunció que encargaría a ProInversión la convocatoria de un proceso de licitación para la construcción de una planta de regasificación de gas natural licuado, sin especificar ubicación, que estimó lista en unos dos años. El entonces presidente encargado del Consejo Directivo de Osinergmin, Aurelio Ochoa, se mostró de acuerdo con el planteamiento, mencionando como una de las alternativas viables la zona de Pampa Melchorita. Según Ochoa, un proyecto de planta de regasificación con almacenamiento costaría entre US$ 500 y </w:t>
      </w:r>
      <w:r>
        <w:rPr>
          <w:lang w:val="es-PE"/>
        </w:rPr>
        <w:t xml:space="preserve">US$ </w:t>
      </w:r>
      <w:r w:rsidRPr="008E42E7">
        <w:rPr>
          <w:lang w:val="es-PE"/>
        </w:rPr>
        <w:t xml:space="preserve">600 millones, y se podría construir en un plazo de </w:t>
      </w:r>
      <w:r>
        <w:rPr>
          <w:lang w:val="es-PE"/>
        </w:rPr>
        <w:t xml:space="preserve">12 </w:t>
      </w:r>
      <w:r w:rsidRPr="008E42E7">
        <w:rPr>
          <w:lang w:val="es-PE"/>
        </w:rPr>
        <w:t xml:space="preserve">a </w:t>
      </w:r>
      <w:r>
        <w:rPr>
          <w:lang w:val="es-PE"/>
        </w:rPr>
        <w:t xml:space="preserve">18 </w:t>
      </w:r>
      <w:r w:rsidRPr="008E42E7">
        <w:rPr>
          <w:lang w:val="es-PE"/>
        </w:rPr>
        <w:t>meses. El proyecto, sin embargo, no pasó del anuncio. En setiembre de 2026</w:t>
      </w:r>
      <w:r>
        <w:rPr>
          <w:lang w:val="es-PE"/>
        </w:rPr>
        <w:t>,</w:t>
      </w:r>
      <w:r w:rsidRPr="008E42E7">
        <w:rPr>
          <w:lang w:val="es-PE"/>
        </w:rPr>
        <w:t xml:space="preserve"> el ministerio lo relanzó ante la Comisión de Energía y Minas del Congreso, esta vez con ubicación tentativa en la costa de Lima o Ica y con capacidad de almacenamiento para entre </w:t>
      </w:r>
      <w:r>
        <w:rPr>
          <w:lang w:val="es-PE"/>
        </w:rPr>
        <w:t xml:space="preserve">15 </w:t>
      </w:r>
      <w:r w:rsidRPr="008E42E7">
        <w:rPr>
          <w:lang w:val="es-PE"/>
        </w:rPr>
        <w:t xml:space="preserve">días y tres semanas de consumo. Sigue en etapa de concepto: no figura en la cartera de proyectos de ProInversión al </w:t>
      </w:r>
      <w:r>
        <w:rPr>
          <w:lang w:val="es-PE"/>
        </w:rPr>
        <w:t xml:space="preserve">primero </w:t>
      </w:r>
      <w:r w:rsidRPr="008E42E7">
        <w:rPr>
          <w:lang w:val="es-PE"/>
        </w:rPr>
        <w:t>de agosto de 2026 ni ha sido encargado formalmente para su estructuración.</w:t>
      </w:r>
    </w:p>
    <w:p w14:paraId="2ECAF785" w14:textId="72149D85" w:rsidR="00B313C1" w:rsidRPr="008E42E7" w:rsidRDefault="00B313C1">
      <w:pPr>
        <w:keepLines/>
        <w:rPr>
          <w:lang w:val="es-PE"/>
        </w:rPr>
      </w:pPr>
      <w:r w:rsidRPr="008E42E7">
        <w:rPr>
          <w:lang w:val="es-PE"/>
        </w:rPr>
        <w:t xml:space="preserve">El esquema propuesto sería de abastecimiento marítimo: buques metaneros descargan en un terminal portuario, el producto se mantiene en tanques criogénicos, se devuelve a estado gaseoso mediante vaporización y se inyecta a la red existente. La planta de licuefacción del país ya produce gas natural licuado tanto para exportación como para abastecer por camión a las concesiones Norte y Sur Oeste. Una instalación de regasificación costera permitiría redirigir parte de ese volumen al mercado interno por vía marítima, con la importación como recurso complementario. El valor del esquema está, sin embargo, en el almacenamiento: gas natural licuado guardado específicamente para emergencias. Con inventario propio, una interrupción de la producción, del procesamiento o del transporte se atiende con ese inventario mientras dure. La contrapartida es un costo permanente de mantenimiento y disponibilidad que alguien tiene que asumir, análogo al de las reservas frías del mercado eléctrico </w:t>
      </w:r>
      <w:r>
        <w:rPr>
          <w:lang w:val="es-PE"/>
        </w:rPr>
        <w:t>–</w:t>
      </w:r>
      <w:r w:rsidRPr="008E42E7">
        <w:rPr>
          <w:lang w:val="es-PE"/>
        </w:rPr>
        <w:t>centrales a las que se paga por estar disponibles para el día en que el resto del sistema falla</w:t>
      </w:r>
      <w:r>
        <w:rPr>
          <w:lang w:val="es-PE"/>
        </w:rPr>
        <w:t>–</w:t>
      </w:r>
      <w:r w:rsidRPr="008E42E7">
        <w:rPr>
          <w:lang w:val="es-PE"/>
        </w:rPr>
        <w:t>, y es ese costo el que un mecanismo de financiamiento debe reconocer.</w:t>
      </w:r>
    </w:p>
    <w:p w14:paraId="3B867A2B" w14:textId="4701F55F" w:rsidR="00B313C1" w:rsidRPr="008E42E7" w:rsidRDefault="00B313C1">
      <w:pPr>
        <w:keepLines/>
        <w:rPr>
          <w:lang w:val="es-PE"/>
        </w:rPr>
      </w:pPr>
      <w:r w:rsidRPr="008E42E7">
        <w:rPr>
          <w:lang w:val="es-PE"/>
        </w:rPr>
        <w:t xml:space="preserve">El financiamiento de una obra así tiene antecedente en el país. En 2012 la Ley 29970 declaró de interés nacional, entre los proyectos de afianzamiento de la seguridad energética, una planta de regasificación e instalaciones para la importación de gas natural licuado en Pampa Melchorita, y creó un cargo tarifario para financiarla. El cargo no se pagaba por almacenar: era un recargo al peaje del sistema principal de transmisión eléctrica, expresado en soles por kilovatio-mes y aplicado sobre toda la demanda del sistema </w:t>
      </w:r>
      <w:r>
        <w:rPr>
          <w:lang w:val="es-PE"/>
        </w:rPr>
        <w:t>–</w:t>
      </w:r>
      <w:r w:rsidRPr="008E42E7">
        <w:rPr>
          <w:lang w:val="es-PE"/>
        </w:rPr>
        <w:t>usuarios regulados y libres</w:t>
      </w:r>
      <w:r>
        <w:rPr>
          <w:lang w:val="es-PE"/>
        </w:rPr>
        <w:t>–</w:t>
      </w:r>
      <w:r w:rsidRPr="008E42E7">
        <w:rPr>
          <w:lang w:val="es-PE"/>
        </w:rPr>
        <w:t>, cuyo objeto era garantizar por adelantado los ingresos del concesionario de obras que aún estaban por construirse. Se cobró entre mayo de 2015 y enero de 2017, casi dos años. Como los proyectos no se ejecutaron, lo recaudado permaneció en el fideicomiso y, en 2017, el Congreso dejó sin efecto los cargos y ordenó su devolución: cerca de US$ 94 millones regresaron a los más de seis millones de usuarios que habían aportado. El episodio deja dos lecciones para el diseño de un nuevo mecanismo. El cargo debe activarse contra avance de obra y no contra el anuncio del proyecto, y su destino debe ser verificable por el usuario que lo paga.</w:t>
      </w:r>
    </w:p>
    <w:p w14:paraId="31098DBA" w14:textId="6D75071D" w:rsidR="00B313C1" w:rsidRPr="008E42E7" w:rsidRDefault="00B313C1">
      <w:pPr>
        <w:keepLines/>
        <w:rPr>
          <w:lang w:val="es-PE"/>
        </w:rPr>
      </w:pPr>
      <w:r w:rsidRPr="008E42E7">
        <w:rPr>
          <w:highlight w:val="yellow"/>
          <w:lang w:val="es-PE"/>
        </w:rPr>
        <w:lastRenderedPageBreak/>
        <w:t xml:space="preserve">El instrumento </w:t>
      </w:r>
      <w:r>
        <w:rPr>
          <w:highlight w:val="yellow"/>
          <w:lang w:val="es-PE"/>
        </w:rPr>
        <w:t xml:space="preserve">para hacer este proyecto una realidad </w:t>
      </w:r>
      <w:r w:rsidRPr="008E42E7">
        <w:rPr>
          <w:highlight w:val="yellow"/>
          <w:lang w:val="es-PE"/>
        </w:rPr>
        <w:t xml:space="preserve">existe hoy sin necesidad de crear uno nuevo. La Ley 32315, de abril de 2025 </w:t>
      </w:r>
      <w:r>
        <w:rPr>
          <w:highlight w:val="yellow"/>
          <w:lang w:val="es-PE"/>
        </w:rPr>
        <w:t>–</w:t>
      </w:r>
      <w:r w:rsidRPr="008E42E7">
        <w:rPr>
          <w:highlight w:val="yellow"/>
          <w:lang w:val="es-PE"/>
        </w:rPr>
        <w:t>la misma que creó el mecanismo de tarifa nivelada</w:t>
      </w:r>
      <w:r>
        <w:rPr>
          <w:highlight w:val="yellow"/>
          <w:lang w:val="es-PE"/>
        </w:rPr>
        <w:t>–</w:t>
      </w:r>
      <w:r w:rsidRPr="008E42E7">
        <w:rPr>
          <w:highlight w:val="yellow"/>
          <w:lang w:val="es-PE"/>
        </w:rPr>
        <w:t xml:space="preserve">, habilita financiar infraestructura de almacenamiento de hidrocarburos con recursos del Fondo de Inclusión Social Energético, del </w:t>
      </w:r>
      <w:r>
        <w:rPr>
          <w:highlight w:val="yellow"/>
          <w:lang w:val="es-PE"/>
        </w:rPr>
        <w:t>S</w:t>
      </w:r>
      <w:r w:rsidRPr="008E42E7">
        <w:rPr>
          <w:highlight w:val="yellow"/>
          <w:lang w:val="es-PE"/>
        </w:rPr>
        <w:t xml:space="preserve">istema de </w:t>
      </w:r>
      <w:r>
        <w:rPr>
          <w:highlight w:val="yellow"/>
          <w:lang w:val="es-PE"/>
        </w:rPr>
        <w:t>S</w:t>
      </w:r>
      <w:r w:rsidRPr="008E42E7">
        <w:rPr>
          <w:highlight w:val="yellow"/>
          <w:lang w:val="es-PE"/>
        </w:rPr>
        <w:t xml:space="preserve">eguridad </w:t>
      </w:r>
      <w:r>
        <w:rPr>
          <w:highlight w:val="yellow"/>
          <w:lang w:val="es-PE"/>
        </w:rPr>
        <w:t>E</w:t>
      </w:r>
      <w:r w:rsidRPr="008E42E7">
        <w:rPr>
          <w:highlight w:val="yellow"/>
          <w:lang w:val="es-PE"/>
        </w:rPr>
        <w:t>nergética y del canon, y crea una agencia de inventarios de combustibles; su reglamento, cuyo plazo legal venció en julio de 2025, sigue sin aprobarse. A ello se suma la solicitud de facultades legislativas remitida al Congreso en agosto de 2026, que incluye expresamente el almacenamiento de hidrocarburos entre las materias a legislar, aunque su aprobación es incierta, pues el dictamen aprobado en comisión limitó las materias a seguridad ciudadana y al fenómeno de El Niño. Reglamentar la ley vigente, exigir y publicar la capacidad de almacenamiento y los días de autonomía de cada estación de regasificación y de cada concesión, y fijar para el gas natural una obligación de inventario mínimo equivalente a la que ya rige para los combustibles líquidos son los tres pasos que convertirían la propuesta en un proyecto con financiamiento y calendario</w:t>
      </w:r>
      <w:r>
        <w:rPr>
          <w:highlight w:val="yellow"/>
          <w:lang w:val="es-PE"/>
        </w:rPr>
        <w:t xml:space="preserve"> establecidos</w:t>
      </w:r>
      <w:r w:rsidRPr="008E42E7">
        <w:rPr>
          <w:highlight w:val="yellow"/>
          <w:lang w:val="es-PE"/>
        </w:rPr>
        <w:t>.</w:t>
      </w:r>
    </w:p>
    <w:p w14:paraId="34D5FCCF" w14:textId="77777777" w:rsidR="00B313C1" w:rsidRPr="00486573" w:rsidRDefault="00B313C1">
      <w:pPr>
        <w:pStyle w:val="Ttulo2"/>
        <w:pageBreakBefore/>
        <w:rPr>
          <w:lang w:val="es-PE"/>
        </w:rPr>
      </w:pPr>
      <w:bookmarkStart w:id="47" w:name="_Idx_6_3"/>
      <w:r w:rsidRPr="00486573">
        <w:rPr>
          <w:lang w:val="es-PE"/>
        </w:rPr>
        <w:lastRenderedPageBreak/>
        <w:t>6.3. Predictibilidad y viabilidad para la continuidad de las inversiones</w:t>
      </w:r>
      <w:bookmarkEnd w:id="47"/>
    </w:p>
    <w:p w14:paraId="10505550" w14:textId="42E2BEF5" w:rsidR="00B313C1" w:rsidRPr="00486573" w:rsidRDefault="00B313C1">
      <w:pPr>
        <w:keepLines/>
        <w:rPr>
          <w:lang w:val="es-PE"/>
        </w:rPr>
      </w:pPr>
      <w:r w:rsidRPr="00486573">
        <w:rPr>
          <w:lang w:val="es-PE"/>
        </w:rPr>
        <w:t xml:space="preserve">La masificación del gas natural en el Perú se hace con capital privado dentro de concesiones reguladas, de modo que la velocidad a la que avanza depende de si invertir en una red de distribución peruana sigue siendo un negocio previsible y rentable. El último año dejó dos señales </w:t>
      </w:r>
      <w:r>
        <w:rPr>
          <w:lang w:val="es-PE"/>
        </w:rPr>
        <w:t xml:space="preserve">clave </w:t>
      </w:r>
      <w:r w:rsidRPr="00486573">
        <w:rPr>
          <w:lang w:val="es-PE"/>
        </w:rPr>
        <w:t>sobre es</w:t>
      </w:r>
      <w:r>
        <w:rPr>
          <w:lang w:val="es-PE"/>
        </w:rPr>
        <w:t>t</w:t>
      </w:r>
      <w:r w:rsidRPr="00486573">
        <w:rPr>
          <w:lang w:val="es-PE"/>
        </w:rPr>
        <w:t xml:space="preserve">e punto. La primera es que una revisión tarifaria de distribución terminó, por primera vez en la historia del sector, en un foro arbitral internacional. La segunda es que la administración provisional de la Concesión Sur Oeste </w:t>
      </w:r>
      <w:r>
        <w:rPr>
          <w:lang w:val="es-PE"/>
        </w:rPr>
        <w:t>–</w:t>
      </w:r>
      <w:r w:rsidRPr="00486573">
        <w:rPr>
          <w:lang w:val="es-PE"/>
        </w:rPr>
        <w:t>encargada a la empresa estatal y prorrogada en diciembre de 2023 hasta diciembre de este año</w:t>
      </w:r>
      <w:r>
        <w:rPr>
          <w:lang w:val="es-PE"/>
        </w:rPr>
        <w:t>–</w:t>
      </w:r>
      <w:r w:rsidRPr="00486573">
        <w:rPr>
          <w:lang w:val="es-PE"/>
        </w:rPr>
        <w:t xml:space="preserve"> entró en su tramo final sin reemplazo a la vista: el plan de promoción del nuevo </w:t>
      </w:r>
      <w:r>
        <w:rPr>
          <w:lang w:val="es-PE"/>
        </w:rPr>
        <w:t>proceso de licitación de la concesión</w:t>
      </w:r>
      <w:r w:rsidRPr="00486573">
        <w:rPr>
          <w:lang w:val="es-PE"/>
        </w:rPr>
        <w:t xml:space="preserve">, aprobado en abril de 2026, estima la </w:t>
      </w:r>
      <w:r>
        <w:rPr>
          <w:lang w:val="es-PE"/>
        </w:rPr>
        <w:t>buena pro</w:t>
      </w:r>
      <w:r w:rsidRPr="00486573">
        <w:rPr>
          <w:lang w:val="es-PE"/>
        </w:rPr>
        <w:t xml:space="preserve"> </w:t>
      </w:r>
      <w:r>
        <w:rPr>
          <w:lang w:val="es-PE"/>
        </w:rPr>
        <w:t xml:space="preserve">apenas </w:t>
      </w:r>
      <w:r w:rsidRPr="00486573">
        <w:rPr>
          <w:lang w:val="es-PE"/>
        </w:rPr>
        <w:t>para 2028. En ambos casos, la discusión ha perdido de vista el objetivo final: continuar llevando el gas natural a más familias y comercios para que accedan a una energía segura, barata y más limpia.</w:t>
      </w:r>
    </w:p>
    <w:p w14:paraId="74E595CE" w14:textId="77777777" w:rsidR="00B313C1" w:rsidRPr="00486573" w:rsidRDefault="00B313C1">
      <w:pPr>
        <w:keepNext/>
        <w:keepLines/>
        <w:spacing w:before="280" w:after="120"/>
        <w:rPr>
          <w:lang w:val="es-PE"/>
        </w:rPr>
      </w:pPr>
      <w:r w:rsidRPr="00486573">
        <w:rPr>
          <w:b/>
          <w:color w:val="1F3864"/>
          <w:sz w:val="24"/>
          <w:lang w:val="es-PE"/>
        </w:rPr>
        <w:t>Las revisiones tarifarias y la previsibilidad del marco regulatorio</w:t>
      </w:r>
    </w:p>
    <w:p w14:paraId="46F55E5D" w14:textId="6540DC76" w:rsidR="00607278" w:rsidRDefault="00F85315">
      <w:pPr>
        <w:keepLines/>
        <w:rPr>
          <w:lang w:val="es-PE"/>
        </w:rPr>
      </w:pPr>
      <w:r>
        <w:rPr>
          <w:lang w:val="es-PE"/>
        </w:rPr>
        <w:t>Las concesiones de distribución operan con la tarifa</w:t>
      </w:r>
      <w:r w:rsidR="00E21B5F">
        <w:rPr>
          <w:lang w:val="es-PE"/>
        </w:rPr>
        <w:t xml:space="preserve"> fijada </w:t>
      </w:r>
      <w:r w:rsidR="00094E27">
        <w:rPr>
          <w:lang w:val="es-PE"/>
        </w:rPr>
        <w:t>en el contrato de concesión</w:t>
      </w:r>
      <w:r>
        <w:rPr>
          <w:lang w:val="es-PE"/>
        </w:rPr>
        <w:t xml:space="preserve"> durante los primeros ocho años. Cumplido ese plazo, el regulador fija las tarifas cada cuatro años sobre el modelo de una empresa eficiente. La Concesión Norte llegó a esa primera fijación regulada con el proceso 2025-2028, y la discusión se centró en cuánta demanda futura y cuántos activos –sobre todo los </w:t>
      </w:r>
      <w:r w:rsidR="00B46CAE">
        <w:rPr>
          <w:lang w:val="es-PE"/>
        </w:rPr>
        <w:t xml:space="preserve">asociados al </w:t>
      </w:r>
      <w:r>
        <w:rPr>
          <w:lang w:val="es-PE"/>
        </w:rPr>
        <w:t>transporte</w:t>
      </w:r>
      <w:r w:rsidR="00B46CAE">
        <w:rPr>
          <w:lang w:val="es-PE"/>
        </w:rPr>
        <w:t>, almacenamiento y regasificación de GNL</w:t>
      </w:r>
      <w:r>
        <w:rPr>
          <w:lang w:val="es-PE"/>
        </w:rPr>
        <w:t xml:space="preserve">– se reconocían para calcular el margen. </w:t>
      </w:r>
      <w:r w:rsidR="008C3BB0">
        <w:rPr>
          <w:lang w:val="es-PE"/>
        </w:rPr>
        <w:t>E</w:t>
      </w:r>
      <w:r>
        <w:rPr>
          <w:lang w:val="es-PE"/>
        </w:rPr>
        <w:t xml:space="preserve">l </w:t>
      </w:r>
      <w:r w:rsidR="008C3BB0">
        <w:rPr>
          <w:lang w:val="es-PE"/>
        </w:rPr>
        <w:t xml:space="preserve">regulador </w:t>
      </w:r>
      <w:r>
        <w:rPr>
          <w:lang w:val="es-PE"/>
        </w:rPr>
        <w:t>no reconoció 45 %</w:t>
      </w:r>
      <w:r w:rsidR="008950A9">
        <w:rPr>
          <w:lang w:val="es-PE"/>
        </w:rPr>
        <w:t xml:space="preserve"> de las inversiones eficientes ejecutadas por el </w:t>
      </w:r>
      <w:r>
        <w:rPr>
          <w:lang w:val="es-PE"/>
        </w:rPr>
        <w:t>concesionario. En el mismo procedimiento, el regulador aprobó además el plan quinquenal de inversiones dimensionado sobre la tarifa que la empresa había propuesto y él desestimó, y no sobre la que finalmente fijó: el concesionario quedó obligado a un programa de expansión calculado para una remuneración que no recibió.</w:t>
      </w:r>
    </w:p>
    <w:p w14:paraId="26B1056F" w14:textId="13D00851" w:rsidR="00B313C1" w:rsidRPr="00486573" w:rsidRDefault="00B313C1">
      <w:pPr>
        <w:keepLines/>
        <w:rPr>
          <w:lang w:val="es-PE"/>
        </w:rPr>
      </w:pPr>
      <w:r>
        <w:rPr>
          <w:lang w:val="es-PE"/>
        </w:rPr>
        <w:t xml:space="preserve">La cronología es corta. En diciembre de 2024 se emitió la resolución tarifaria, con un ajuste sustancial </w:t>
      </w:r>
      <w:r w:rsidR="0037726D">
        <w:rPr>
          <w:lang w:val="es-PE"/>
        </w:rPr>
        <w:t xml:space="preserve">y arbitrario </w:t>
      </w:r>
      <w:r>
        <w:rPr>
          <w:lang w:val="es-PE"/>
        </w:rPr>
        <w:t>frente a la tarifa del contrato, y en marzo de 2025 se resolvió su reconsideración</w:t>
      </w:r>
      <w:r w:rsidR="005462BD">
        <w:rPr>
          <w:lang w:val="es-PE"/>
        </w:rPr>
        <w:t xml:space="preserve"> </w:t>
      </w:r>
      <w:r>
        <w:rPr>
          <w:lang w:val="es-PE"/>
        </w:rPr>
        <w:t xml:space="preserve">sin cambios de fondo. En noviembre de 2025, Promigas, matriz de la concesionaria, notificó al Estado peruano su intención de iniciar un arbitraje al amparo del tratado bilateral de inversiones suscrito con Colombia; el proceso se inició en junio de 2026, tras no prosperar las conversaciones con el Estado, y en julio el Centro Internacional de Arreglo de Diferencias Relativas a Inversiones (CIADI) registró el caso. </w:t>
      </w:r>
    </w:p>
    <w:p w14:paraId="702A4811" w14:textId="2485FBD3" w:rsidR="00B313C1" w:rsidRPr="00486573" w:rsidRDefault="00B313C1">
      <w:pPr>
        <w:keepLines/>
        <w:rPr>
          <w:lang w:val="es-PE"/>
        </w:rPr>
      </w:pPr>
      <w:r w:rsidRPr="00486573">
        <w:rPr>
          <w:lang w:val="es-PE"/>
        </w:rPr>
        <w:t xml:space="preserve">El resultado del proceso de revisión tarifaria se </w:t>
      </w:r>
      <w:r>
        <w:rPr>
          <w:lang w:val="es-PE"/>
        </w:rPr>
        <w:t>vio reflejado de manera inmediata</w:t>
      </w:r>
      <w:r w:rsidRPr="00486573">
        <w:rPr>
          <w:lang w:val="es-PE"/>
        </w:rPr>
        <w:t xml:space="preserve"> en la expansión</w:t>
      </w:r>
      <w:r>
        <w:rPr>
          <w:lang w:val="es-PE"/>
        </w:rPr>
        <w:t xml:space="preserve"> de la red de ductos de la concesión</w:t>
      </w:r>
      <w:r w:rsidRPr="00486573">
        <w:rPr>
          <w:lang w:val="es-PE"/>
        </w:rPr>
        <w:t>. En 2025</w:t>
      </w:r>
      <w:r>
        <w:rPr>
          <w:lang w:val="es-PE"/>
        </w:rPr>
        <w:t xml:space="preserve">, Gases del Pacífico (filial de Promigas) </w:t>
      </w:r>
      <w:r w:rsidRPr="00486573">
        <w:rPr>
          <w:lang w:val="es-PE"/>
        </w:rPr>
        <w:t xml:space="preserve">no anilló una sola vivienda nueva </w:t>
      </w:r>
      <w:r>
        <w:rPr>
          <w:lang w:val="es-PE"/>
        </w:rPr>
        <w:t>–tras haber anillado más de 10 mil</w:t>
      </w:r>
      <w:r w:rsidRPr="00486573">
        <w:rPr>
          <w:lang w:val="es-PE"/>
        </w:rPr>
        <w:t xml:space="preserve"> el año anterior</w:t>
      </w:r>
      <w:r>
        <w:rPr>
          <w:lang w:val="es-PE"/>
        </w:rPr>
        <w:t>–</w:t>
      </w:r>
      <w:r w:rsidRPr="00486573">
        <w:rPr>
          <w:lang w:val="es-PE"/>
        </w:rPr>
        <w:t xml:space="preserve"> y las nuevas conexiones residenciales cayeron 90 %. El contraste dentro del mismo grupo empresarial es ilustrativo: la concesión de Piura, que todavía opera bajo su tarifa contractual de ocho años, sumó cerca de 22 mil conexiones residenciales y anilló más de </w:t>
      </w:r>
      <w:r>
        <w:rPr>
          <w:lang w:val="es-PE"/>
        </w:rPr>
        <w:t xml:space="preserve">31 </w:t>
      </w:r>
      <w:r w:rsidRPr="00486573">
        <w:rPr>
          <w:lang w:val="es-PE"/>
        </w:rPr>
        <w:t>mil viviendas en el mismo ejercicio. El efecto práctico es un tope de crecimiento sobre una de las concesiones que más venía aportando a la masificación.</w:t>
      </w:r>
    </w:p>
    <w:p w14:paraId="44A7FF60" w14:textId="431A9DAD" w:rsidR="00B313C1" w:rsidRDefault="00B313C1">
      <w:pPr>
        <w:keepNext/>
        <w:spacing w:before="160"/>
        <w:jc w:val="center"/>
      </w:pPr>
      <w:r>
        <w:rPr>
          <w:noProof/>
        </w:rPr>
        <w:lastRenderedPageBreak/>
        <w:drawing>
          <wp:inline distT="0" distB="0" distL="0" distR="0" wp14:anchorId="0F3EDEA4" wp14:editId="79EFFD16">
            <wp:extent cx="4320000" cy="3120865"/>
            <wp:effectExtent l="0" t="0" r="0" b="0"/>
            <wp:docPr id="2110891833" name="Imagen 211089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01.png"/>
                    <pic:cNvPicPr/>
                  </pic:nvPicPr>
                  <pic:blipFill>
                    <a:blip r:embed="rId113"/>
                    <a:stretch>
                      <a:fillRect/>
                    </a:stretch>
                  </pic:blipFill>
                  <pic:spPr>
                    <a:xfrm>
                      <a:off x="0" y="0"/>
                      <a:ext cx="4320000" cy="3120865"/>
                    </a:xfrm>
                    <a:prstGeom prst="rect">
                      <a:avLst/>
                    </a:prstGeom>
                  </pic:spPr>
                </pic:pic>
              </a:graphicData>
            </a:graphic>
          </wp:inline>
        </w:drawing>
      </w:r>
    </w:p>
    <w:p w14:paraId="4B61754B" w14:textId="06C22091" w:rsidR="00B313C1" w:rsidRDefault="00B313C1">
      <w:pPr>
        <w:keepLines/>
        <w:rPr>
          <w:lang w:val="es-PE"/>
        </w:rPr>
      </w:pPr>
      <w:r>
        <w:rPr>
          <w:lang w:val="es-PE"/>
        </w:rPr>
        <w:t>Este no es un caso aislado: otras concesiones también han enfrentado desafíos en sus procesos tarifarios. En Ica, la revisión tarifaria de 2022 desconoció parte de los activos de Contugas por considerarlos sobredimensionados respecto de la demanda –la empresa cuestionó la decisión sin éxito–, y la revisión de 2026 aplicó una reducción adicional de 5 % para el periodo 2026-2030. El country manager del Grupo Energía Bogotá, matriz de esa concesionaria, calificó la decisión como “un golpe durísimo a las finanzas y la estabilidad económica” de la empresa, y sostuvo que el regulador se ha convertido en “el principal obstáculo para la masificación del gas natural”. Dos grupos empresariales independientes entre sí han llegado en cuatro años a</w:t>
      </w:r>
      <w:r w:rsidR="0094195D">
        <w:rPr>
          <w:lang w:val="es-PE"/>
        </w:rPr>
        <w:t xml:space="preserve"> un </w:t>
      </w:r>
      <w:r>
        <w:rPr>
          <w:lang w:val="es-PE"/>
        </w:rPr>
        <w:t>diagnóstico</w:t>
      </w:r>
      <w:r w:rsidR="0094195D">
        <w:rPr>
          <w:lang w:val="es-PE"/>
        </w:rPr>
        <w:t xml:space="preserve"> similar</w:t>
      </w:r>
      <w:r>
        <w:rPr>
          <w:lang w:val="es-PE"/>
        </w:rPr>
        <w:t xml:space="preserve"> sobre el proceso</w:t>
      </w:r>
      <w:r w:rsidR="0094195D">
        <w:rPr>
          <w:lang w:val="es-PE"/>
        </w:rPr>
        <w:t xml:space="preserve"> de revisión tarifaria</w:t>
      </w:r>
      <w:r>
        <w:rPr>
          <w:lang w:val="es-PE"/>
        </w:rPr>
        <w:t>.</w:t>
      </w:r>
    </w:p>
    <w:p w14:paraId="4E31FC49" w14:textId="07BB56C9" w:rsidR="00607278" w:rsidRDefault="00F85315">
      <w:pPr>
        <w:keepLines/>
        <w:rPr>
          <w:lang w:val="es-PE"/>
        </w:rPr>
      </w:pPr>
      <w:r>
        <w:rPr>
          <w:lang w:val="es-PE"/>
        </w:rPr>
        <w:t xml:space="preserve">En Lima y Callao, la novena adenda de la concesión se ha retrasado por el mismo punto de fondo –el reconocimiento de las inversiones que el Estado debe remunerar por extender el servicio–. El Ministerio de Energía y Minas recién culminó su informe técnico final y lo remitió al MEF a fines de setiembre de 2026, más de un año después de la primera fecha anunciada para la firma. A ello se suma la fijación tarifaria 2026-2030, en la que el regulador reconoció cerca de 20 % menos inversiones de las sustentadas por Cálidda en su red; la reconsideración, resuelta en julio de 2026, mantuvo ese criterio de fondo. Sus efectos todavía no se reflejan en los resultados del sector, pero podrían volver a sentirse este 2026, incluso en mayor magnitud, por el peso de esta concesión en las nuevas conexiones del país. </w:t>
      </w:r>
    </w:p>
    <w:p w14:paraId="69375594" w14:textId="5509A8CC" w:rsidR="00B313C1" w:rsidRPr="00486573" w:rsidRDefault="00B313C1">
      <w:pPr>
        <w:keepLines/>
        <w:rPr>
          <w:lang w:val="es-PE"/>
        </w:rPr>
      </w:pPr>
      <w:r>
        <w:rPr>
          <w:lang w:val="es-PE"/>
        </w:rPr>
        <w:t>En Piura, la primera fijación regulada está por llegar, con el mismo escalón por delante. La consecuencia excede a las concesiones vigentes: un historial de revisiones que reducen de manera pronunciada la remuneración esperada encarece la búsqueda de postores para las concesiones que hay que licitar o relicitar, y la más próxima es la del Sur Oeste, proyectada para 2028.</w:t>
      </w:r>
    </w:p>
    <w:p w14:paraId="4BEA12D1" w14:textId="77777777" w:rsidR="00B313C1" w:rsidRDefault="00B313C1">
      <w:pPr>
        <w:rPr>
          <w:lang w:val="es-PE"/>
        </w:rPr>
      </w:pPr>
    </w:p>
    <w:p w14:paraId="10D731E6" w14:textId="480A4FF9" w:rsidR="00B313C1" w:rsidRPr="00486573" w:rsidRDefault="00B313C1">
      <w:pPr>
        <w:keepLines/>
        <w:rPr>
          <w:lang w:val="es-PE"/>
        </w:rPr>
      </w:pPr>
      <w:r w:rsidRPr="00486573">
        <w:rPr>
          <w:lang w:val="es-PE"/>
        </w:rPr>
        <w:lastRenderedPageBreak/>
        <w:t xml:space="preserve">La experiencia comparada ofrece piezas concretas que podrían aportar para </w:t>
      </w:r>
      <w:r>
        <w:rPr>
          <w:lang w:val="es-PE"/>
        </w:rPr>
        <w:t>dar mayor previsibilidad a las revisiones tarifarias</w:t>
      </w:r>
      <w:r w:rsidRPr="00486573">
        <w:rPr>
          <w:lang w:val="es-PE"/>
        </w:rPr>
        <w:t xml:space="preserve">. En Colombia, la proyección de demanda con la que se calcula la tarifa cubre un horizonte largo y no se reinicia con cada revisión: si la demanda real se desvía de la proyectada, la siguiente revisión ajusta la trayectoria en lugar de rehacer el cálculo desde cero, lo que evita saltos bruscos en la remuneración. En España, el margen del distribuidor incluye un componente que premia resultados </w:t>
      </w:r>
      <w:r>
        <w:rPr>
          <w:lang w:val="es-PE"/>
        </w:rPr>
        <w:t>–</w:t>
      </w:r>
      <w:r w:rsidRPr="00486573">
        <w:rPr>
          <w:lang w:val="es-PE"/>
        </w:rPr>
        <w:t>conexiones efectivamente ejecutadas, calidad de servicio</w:t>
      </w:r>
      <w:r>
        <w:rPr>
          <w:lang w:val="es-PE"/>
        </w:rPr>
        <w:t>–</w:t>
      </w:r>
      <w:r w:rsidRPr="00486573">
        <w:rPr>
          <w:lang w:val="es-PE"/>
        </w:rPr>
        <w:t xml:space="preserve">, de modo que la eficiencia no solo recorta costos reconocidos, sino que también recompensa a quien expande la red. Sobre esa base, cuatro ajustes </w:t>
      </w:r>
      <w:r>
        <w:rPr>
          <w:lang w:val="es-PE"/>
        </w:rPr>
        <w:t>mejorarían la estabilidad del esquema</w:t>
      </w:r>
      <w:r w:rsidRPr="00486573">
        <w:rPr>
          <w:lang w:val="es-PE"/>
        </w:rPr>
        <w:t xml:space="preserve"> sin subir la tarifa al usuario. El primero es publicar la metodología con la que el regulador proyecta la demanda y someterla a consulta pública antes de cada fijación. El segundo, escribir en el reglamento qué inversiones se reconocen y con qué evidencia. El tercero, corregir la base en la siguiente fijación cuando la demanda real se aparte de la proyectada más allá de un umbral, en ambos sentidos. Y el cuarto, prever una transición gradual entre la tarifa del contrato y la primera tarifa regulada, en lugar del escalón actual.</w:t>
      </w:r>
    </w:p>
    <w:p w14:paraId="2469FD37" w14:textId="3C606525" w:rsidR="00B313C1" w:rsidRPr="00486573" w:rsidRDefault="00B313C1">
      <w:pPr>
        <w:keepLines/>
        <w:rPr>
          <w:lang w:val="es-PE"/>
        </w:rPr>
      </w:pPr>
      <w:r w:rsidRPr="00486573">
        <w:rPr>
          <w:lang w:val="es-PE"/>
        </w:rPr>
        <w:t xml:space="preserve">Queda un quinto punto, de mayor alcance y de naturaleza distinta. Los cuatro ajustes anteriores mejoran cómo se calcula la tarifa, pero no cambian quién revisa la decisión: hoy la impugnación la resuelve el mismo </w:t>
      </w:r>
      <w:r>
        <w:rPr>
          <w:lang w:val="es-PE"/>
        </w:rPr>
        <w:t>C</w:t>
      </w:r>
      <w:r w:rsidRPr="00486573">
        <w:rPr>
          <w:lang w:val="es-PE"/>
        </w:rPr>
        <w:t xml:space="preserve">onsejo </w:t>
      </w:r>
      <w:r>
        <w:rPr>
          <w:lang w:val="es-PE"/>
        </w:rPr>
        <w:t>D</w:t>
      </w:r>
      <w:r w:rsidRPr="00486573">
        <w:rPr>
          <w:lang w:val="es-PE"/>
        </w:rPr>
        <w:t xml:space="preserve">irectivo que la adoptó, y el siguiente paso disponible ya es el litigio. Una instancia técnica independiente que revise las discrepancias de parámetros antes de ese punto </w:t>
      </w:r>
      <w:r>
        <w:rPr>
          <w:lang w:val="es-PE"/>
        </w:rPr>
        <w:t>–</w:t>
      </w:r>
      <w:r w:rsidRPr="00486573">
        <w:rPr>
          <w:lang w:val="es-PE"/>
        </w:rPr>
        <w:t>un panel de expertos, con opinión previa a la resolución del recurso o con decisión que agote la vía administrativa</w:t>
      </w:r>
      <w:r>
        <w:rPr>
          <w:lang w:val="es-PE"/>
        </w:rPr>
        <w:t>–</w:t>
      </w:r>
      <w:r w:rsidRPr="00486573">
        <w:rPr>
          <w:lang w:val="es-PE"/>
        </w:rPr>
        <w:t xml:space="preserve"> es lo que hoy no existe y lo que evitaría que cada revisión tarifaria termine escalando.</w:t>
      </w:r>
    </w:p>
    <w:p w14:paraId="2341F63E" w14:textId="18947EE0" w:rsidR="00B313C1" w:rsidRPr="00486573" w:rsidRDefault="00B313C1">
      <w:pPr>
        <w:keepNext/>
        <w:keepLines/>
        <w:spacing w:before="280" w:after="120"/>
        <w:rPr>
          <w:lang w:val="es-PE"/>
        </w:rPr>
      </w:pPr>
      <w:r w:rsidRPr="00486573">
        <w:rPr>
          <w:b/>
          <w:color w:val="1F3864"/>
          <w:sz w:val="24"/>
          <w:lang w:val="es-PE"/>
        </w:rPr>
        <w:t xml:space="preserve">El </w:t>
      </w:r>
      <w:r>
        <w:rPr>
          <w:b/>
          <w:color w:val="1F3864"/>
          <w:sz w:val="24"/>
          <w:lang w:val="es-PE"/>
        </w:rPr>
        <w:t>C</w:t>
      </w:r>
      <w:r w:rsidRPr="00486573">
        <w:rPr>
          <w:b/>
          <w:color w:val="1F3864"/>
          <w:sz w:val="24"/>
          <w:lang w:val="es-PE"/>
        </w:rPr>
        <w:t xml:space="preserve">onsejo </w:t>
      </w:r>
      <w:r>
        <w:rPr>
          <w:b/>
          <w:color w:val="1F3864"/>
          <w:sz w:val="24"/>
          <w:lang w:val="es-PE"/>
        </w:rPr>
        <w:t>D</w:t>
      </w:r>
      <w:r w:rsidRPr="00486573">
        <w:rPr>
          <w:b/>
          <w:color w:val="1F3864"/>
          <w:sz w:val="24"/>
          <w:lang w:val="es-PE"/>
        </w:rPr>
        <w:t>irectivo del regulador entra en fase de renovación</w:t>
      </w:r>
    </w:p>
    <w:p w14:paraId="1123F788" w14:textId="343B6F41" w:rsidR="00B313C1" w:rsidRPr="00486573" w:rsidRDefault="00B313C1">
      <w:pPr>
        <w:keepLines/>
        <w:rPr>
          <w:lang w:val="es-PE"/>
        </w:rPr>
      </w:pPr>
      <w:r w:rsidRPr="00486573">
        <w:rPr>
          <w:lang w:val="es-PE"/>
        </w:rPr>
        <w:t xml:space="preserve">El </w:t>
      </w:r>
      <w:r>
        <w:rPr>
          <w:lang w:val="es-PE"/>
        </w:rPr>
        <w:t>C</w:t>
      </w:r>
      <w:r w:rsidRPr="00486573">
        <w:rPr>
          <w:lang w:val="es-PE"/>
        </w:rPr>
        <w:t xml:space="preserve">onsejo </w:t>
      </w:r>
      <w:r>
        <w:rPr>
          <w:lang w:val="es-PE"/>
        </w:rPr>
        <w:t>D</w:t>
      </w:r>
      <w:r w:rsidRPr="00486573">
        <w:rPr>
          <w:lang w:val="es-PE"/>
        </w:rPr>
        <w:t>irectivo de Osinergmin es el órgano que fija las tarifas de distribución de gas natural, aprueba los planes quinquenales de inversión y resuelve los recursos que se presentan contra sus propias decisiones. Es, sin duda alguna, una pieza clave en el desarrollo de la masificación del país, y en los últimos años ha estado en el centro de varias de las controversias que no han permitido mantener el ritmo de instalación de nuevas conexiones. Ese colegiado llega a su renovación con la mitad de sus plazas comprometidas. La ley le asigna seis miembros, uno más que al resto de reguladores, designados por resolución suprema para periodos de cinco años. Hoy solo cuatro asientos están ocupados</w:t>
      </w:r>
      <w:r>
        <w:rPr>
          <w:lang w:val="es-PE"/>
        </w:rPr>
        <w:t>,</w:t>
      </w:r>
      <w:r w:rsidRPr="00486573">
        <w:rPr>
          <w:lang w:val="es-PE"/>
        </w:rPr>
        <w:t xml:space="preserve"> uno de ellos </w:t>
      </w:r>
      <w:r>
        <w:rPr>
          <w:lang w:val="es-PE"/>
        </w:rPr>
        <w:t xml:space="preserve">por </w:t>
      </w:r>
      <w:r w:rsidRPr="00486573">
        <w:rPr>
          <w:lang w:val="es-PE"/>
        </w:rPr>
        <w:t>un miembro cuyo periodo venció a fines de 2023, al amparo de la regla que permite al saliente permanecer hasta que se designe a su reemplazante. Uno de los dos puestos</w:t>
      </w:r>
      <w:r>
        <w:rPr>
          <w:lang w:val="es-PE"/>
        </w:rPr>
        <w:t>,</w:t>
      </w:r>
      <w:r w:rsidRPr="00486573">
        <w:rPr>
          <w:lang w:val="es-PE"/>
        </w:rPr>
        <w:t xml:space="preserve"> hoy sin ocupante</w:t>
      </w:r>
      <w:r>
        <w:rPr>
          <w:lang w:val="es-PE"/>
        </w:rPr>
        <w:t>,</w:t>
      </w:r>
      <w:r w:rsidRPr="00486573">
        <w:rPr>
          <w:lang w:val="es-PE"/>
        </w:rPr>
        <w:t xml:space="preserve"> quedó liberado en enero de 2026, cuando un integrante designado diez meses antes renunció para asumir un cargo en otro ministerio. La </w:t>
      </w:r>
      <w:r>
        <w:rPr>
          <w:lang w:val="es-PE"/>
        </w:rPr>
        <w:t>P</w:t>
      </w:r>
      <w:r w:rsidRPr="00486573">
        <w:rPr>
          <w:lang w:val="es-PE"/>
        </w:rPr>
        <w:t>residencia, que ejerce las funciones ejecutivas y es la titular de la entidad, se designa por el mismo mecanismo y su periodo vence el 14 de febrero de 2027.</w:t>
      </w:r>
    </w:p>
    <w:p w14:paraId="0E11DE36" w14:textId="77777777" w:rsidR="00FC0956" w:rsidRDefault="00FC0956">
      <w:pPr>
        <w:rPr>
          <w:lang w:val="es-PE"/>
        </w:rPr>
      </w:pPr>
    </w:p>
    <w:p w14:paraId="2352CE95" w14:textId="6727ECC6" w:rsidR="00FC0956" w:rsidRDefault="00B313C1">
      <w:pPr>
        <w:keepLines/>
        <w:rPr>
          <w:lang w:val="es-PE"/>
        </w:rPr>
      </w:pPr>
      <w:r w:rsidRPr="00486573">
        <w:rPr>
          <w:lang w:val="es-PE"/>
        </w:rPr>
        <w:lastRenderedPageBreak/>
        <w:t xml:space="preserve">Los puestos vacantes y los miembros del </w:t>
      </w:r>
      <w:r>
        <w:rPr>
          <w:lang w:val="es-PE"/>
        </w:rPr>
        <w:t>C</w:t>
      </w:r>
      <w:r w:rsidRPr="00486573">
        <w:rPr>
          <w:lang w:val="es-PE"/>
        </w:rPr>
        <w:t>onsejo que ocupan el cargo fuera de tiempo no son una excepción en la historia reciente de los organismos reguladores. En 2022 tres de los cuatro quedaron sin presidente designado durante meses, y el de infraestructura de transporte estuvo más de un año sin un titular. En el propio Osinergmin, la Presidencia del Consejo de Ministros convocó un concurso en 2025 y volvió a conformar comités de selección en mayo de 2026 para las mismas plazas, sin que se haya designado a nadie al cierre de esta edición. La causa de los procesos fallidos es principalmente de diseño. El reglamento del concurso público no fija un plazo máximo para la designación final, que corresponde al Ejecutivo, no limita el tiempo que el miembro saliente puede permanecer en el cargo ni obliga a convocar el concurso antes del vencimiento.</w:t>
      </w:r>
    </w:p>
    <w:p w14:paraId="2BDBDA00" w14:textId="4EFB8CBB" w:rsidR="00B313C1" w:rsidRPr="00486573" w:rsidRDefault="00B313C1">
      <w:pPr>
        <w:keepLines/>
        <w:rPr>
          <w:lang w:val="es-PE"/>
        </w:rPr>
      </w:pPr>
      <w:r w:rsidRPr="00486573">
        <w:rPr>
          <w:lang w:val="es-PE"/>
        </w:rPr>
        <w:t>A ello se suman dos barreras de entrada. El baremo de evaluación otorga hasta veinte puntos por experiencia en gestión pública sobre un mínimo aprobatorio de setenta, de modo que un profesional del sector privado empieza veinte puntos abajo. Y el régimen de incompatibilidades impide postular a quien prestó servicios a empresas reguladas en el año previo, pero no define el alcance de las excepciones que la propia ley admite, con lo que desalienta incluso a quienes calificarían. El resultado es un universo de postulantes más estrecho</w:t>
      </w:r>
      <w:r>
        <w:rPr>
          <w:lang w:val="es-PE"/>
        </w:rPr>
        <w:t>,</w:t>
      </w:r>
      <w:r w:rsidRPr="00486573">
        <w:rPr>
          <w:lang w:val="es-PE"/>
        </w:rPr>
        <w:t xml:space="preserve"> justo donde la especialización importa más.</w:t>
      </w:r>
    </w:p>
    <w:p w14:paraId="2C46F151" w14:textId="77777777" w:rsidR="00B313C1" w:rsidRPr="00486573" w:rsidRDefault="00B313C1">
      <w:pPr>
        <w:keepLines/>
        <w:rPr>
          <w:lang w:val="es-PE"/>
        </w:rPr>
      </w:pPr>
      <w:r w:rsidRPr="00486573">
        <w:rPr>
          <w:lang w:val="es-PE"/>
        </w:rPr>
        <w:t>Este nuevo periodo de Gobierno representa una oportunidad para corregir varios de los requerimientos que vienen afectando la designación de funcionarios en estas instituciones. Los principales cambios de diseño en los procesos de selección no requieren aprobación congresal, porque los plazos, la publicidad y los criterios de evaluación están en reglamentos aprobados por decreto supremo. El Ejecutivo podría fijar un plazo máximo para la designación, poner un tope a la permanencia del miembro saliente y obligar a convocar el concurso con anticipación al vencimiento. También podría nivelar la valoración de la experiencia pública y privada, que es el principal desincentivo para varios profesionales. Solo la apertura del régimen de incompatibilidades exige modificar la ley.</w:t>
      </w:r>
    </w:p>
    <w:p w14:paraId="38A4768F" w14:textId="1CF92628" w:rsidR="00B313C1" w:rsidRPr="00486573" w:rsidRDefault="00B313C1">
      <w:pPr>
        <w:keepLines/>
        <w:rPr>
          <w:lang w:val="es-PE"/>
        </w:rPr>
      </w:pPr>
      <w:r w:rsidRPr="00486573">
        <w:rPr>
          <w:lang w:val="es-PE"/>
        </w:rPr>
        <w:t xml:space="preserve">Un cambio en el proceso de selección del </w:t>
      </w:r>
      <w:r>
        <w:rPr>
          <w:lang w:val="es-PE"/>
        </w:rPr>
        <w:t>C</w:t>
      </w:r>
      <w:r w:rsidRPr="00486573">
        <w:rPr>
          <w:lang w:val="es-PE"/>
        </w:rPr>
        <w:t xml:space="preserve">onsejo </w:t>
      </w:r>
      <w:r>
        <w:rPr>
          <w:lang w:val="es-PE"/>
        </w:rPr>
        <w:t>D</w:t>
      </w:r>
      <w:r w:rsidRPr="00486573">
        <w:rPr>
          <w:lang w:val="es-PE"/>
        </w:rPr>
        <w:t xml:space="preserve">irectivo abre las puertas a reformas relevantes para viabilizar inversiones en el sector. Parte de lo que esta sección reclama está en manos del propio </w:t>
      </w:r>
      <w:r>
        <w:rPr>
          <w:lang w:val="es-PE"/>
        </w:rPr>
        <w:t>C</w:t>
      </w:r>
      <w:r w:rsidRPr="00486573">
        <w:rPr>
          <w:lang w:val="es-PE"/>
        </w:rPr>
        <w:t>onsejo, porque el procedimiento de fijación tarifaria y los criterios con que se proyecta la demanda o se reconocen las inversiones son normas que él mismo aprueba. Esos mecanismos podrían fortalecerse si el consejo abriera el procedimiento a opiniones técnicas de terceros independientes antes de resolver, algo que está dentro de sus facultades y no exige norma de rango superior. La revisión de sus decisiones, en cambio, sí. Hoy el recurso contra una fijación tarifaria lo resuelve el mismo colegiado que la adoptó, y no por omisión</w:t>
      </w:r>
      <w:r>
        <w:rPr>
          <w:lang w:val="es-PE"/>
        </w:rPr>
        <w:t>,</w:t>
      </w:r>
      <w:r w:rsidRPr="00486573">
        <w:rPr>
          <w:lang w:val="es-PE"/>
        </w:rPr>
        <w:t xml:space="preserve"> sino porque la función reguladora es exclusiva e indelegable y no existe un órgano superior que pueda ejercerla o cuestionarla. Corregirlo exige una norma de rango superior.</w:t>
      </w:r>
    </w:p>
    <w:p w14:paraId="18652664" w14:textId="77777777" w:rsidR="00B313C1" w:rsidRPr="00486573" w:rsidRDefault="00B313C1">
      <w:pPr>
        <w:keepLines/>
        <w:rPr>
          <w:lang w:val="es-PE"/>
        </w:rPr>
      </w:pPr>
      <w:r w:rsidRPr="00486573">
        <w:rPr>
          <w:lang w:val="es-PE"/>
        </w:rPr>
        <w:t>Las dos alternativas en discusión son un panel técnico independiente cuya decisión agote la vía administrativa, o un panel que emita opinión previa antes de que el consejo resuelva la reconsideración. Ninguna es un experimento. Chile creó en 2004 un panel de expertos de siete miembros, con periodos de seis años, que resuelve con carácter vinculante las discrepancias sobre estudios de costos y fijaciones tarifarias de distribución, incluidas las valorizaciones del servicio de gas; en el Reino Unido, las determinaciones tarifarias del regulador de energía se apelan ante la autoridad de competencia. La renovación de febrero y la creación de esa instancia son decisiones distintas, y solo la segunda cierra el problema.</w:t>
      </w:r>
    </w:p>
    <w:p w14:paraId="7B7E8704" w14:textId="77777777" w:rsidR="00B313C1" w:rsidRPr="00486573" w:rsidRDefault="00B313C1">
      <w:pPr>
        <w:keepNext/>
        <w:keepLines/>
        <w:spacing w:before="280" w:after="120"/>
        <w:rPr>
          <w:lang w:val="es-PE"/>
        </w:rPr>
      </w:pPr>
      <w:r w:rsidRPr="00486573">
        <w:rPr>
          <w:b/>
          <w:color w:val="1F3864"/>
          <w:sz w:val="24"/>
          <w:lang w:val="es-PE"/>
        </w:rPr>
        <w:lastRenderedPageBreak/>
        <w:t>La situación crítica de Petroperú y sus implicancias en la industria del gas natural</w:t>
      </w:r>
    </w:p>
    <w:p w14:paraId="1C5C4BA1" w14:textId="7182395C" w:rsidR="00B313C1" w:rsidRPr="00486573" w:rsidRDefault="00B313C1">
      <w:pPr>
        <w:keepLines/>
        <w:rPr>
          <w:lang w:val="es-PE"/>
        </w:rPr>
      </w:pPr>
      <w:r w:rsidRPr="00486573">
        <w:rPr>
          <w:lang w:val="es-PE"/>
        </w:rPr>
        <w:t>Petroperú es la empresa estatal de hidrocarburos del país. Refina y comercializa combustibles, y es propietaria de la nueva refinería de Talara y del Oleoducto Norperuano. Atraviesa la crisis financiera más severa de su historia: en 2025 perdió US$ 600 millones y cerró con un capital de trabajo negativo de US$ 2.300 millones, su auditor advirtió dudas sobre su capacidad de continuar como negocio en marcha, mientras las calificadoras internacionales rebajaban o retiraban su calificación crediticia. El Estado la sostiene: los apoyos acumulan más de US$ 4.700 millones desde 2022. A fines de 2025, se aprobó un decreto de urgencia que ordenó su reorganización bajo conducción de ProInversión. Asimismo, en mayo de 2026 se habilitó un respaldo adicional por hasta US$ 2.000 millones, cuyo primer tramo, de US$ 475 millones, se desembolsó el 8 de setiembre. Petroperú tiene una incidencia relevante sobre la industria de gas natural en el país que se puede resumir en tres vías: participa en los lotes productores del noroeste, es el cliente principal de una concesión de distribución y administra provisionalmente otra. En las tres el efecto es el mismo. Su debilidad financiera resta competitividad a la industria.</w:t>
      </w:r>
    </w:p>
    <w:p w14:paraId="2550ADB2" w14:textId="77777777" w:rsidR="00B313C1" w:rsidRPr="00486573" w:rsidRDefault="00B313C1">
      <w:pPr>
        <w:keepNext/>
        <w:keepLines/>
        <w:spacing w:before="220" w:after="80"/>
        <w:rPr>
          <w:lang w:val="es-PE"/>
        </w:rPr>
      </w:pPr>
      <w:r w:rsidRPr="00486573">
        <w:rPr>
          <w:b/>
          <w:color w:val="15607F"/>
          <w:sz w:val="23"/>
          <w:lang w:val="es-PE"/>
        </w:rPr>
        <w:t>La participación en los lotes del noroeste</w:t>
      </w:r>
    </w:p>
    <w:p w14:paraId="23243E50" w14:textId="4D91541B" w:rsidR="00B313C1" w:rsidRPr="00486573" w:rsidRDefault="00B313C1">
      <w:pPr>
        <w:keepLines/>
        <w:rPr>
          <w:lang w:val="es-PE"/>
        </w:rPr>
      </w:pPr>
      <w:r w:rsidRPr="00486573">
        <w:rPr>
          <w:lang w:val="es-PE"/>
        </w:rPr>
        <w:t>En las licitaciones de lotes de hidrocarburos, la empresa estatal participa como soci</w:t>
      </w:r>
      <w:r>
        <w:rPr>
          <w:lang w:val="es-PE"/>
        </w:rPr>
        <w:t>a</w:t>
      </w:r>
      <w:r w:rsidRPr="00486573">
        <w:rPr>
          <w:lang w:val="es-PE"/>
        </w:rPr>
        <w:t xml:space="preserve"> del adjudicatario: conserva 40 % del Lote X, en el corazón petrolero de Talara, y el paquete que Perupetro licitó en 2025 para el Lote Z-69 </w:t>
      </w:r>
      <w:r>
        <w:rPr>
          <w:lang w:val="es-PE"/>
        </w:rPr>
        <w:t>–</w:t>
      </w:r>
      <w:r w:rsidRPr="00486573">
        <w:rPr>
          <w:lang w:val="es-PE"/>
        </w:rPr>
        <w:t>que produce el gas natural que abastece a la refinería</w:t>
      </w:r>
      <w:r>
        <w:rPr>
          <w:lang w:val="es-PE"/>
        </w:rPr>
        <w:t>–</w:t>
      </w:r>
      <w:r w:rsidRPr="00486573">
        <w:rPr>
          <w:lang w:val="es-PE"/>
        </w:rPr>
        <w:t xml:space="preserve"> replicó ese modelo con una participación obligatoria de 25 %. Su capacidad financiera, sin embargo, no le permite acompañar las inversiones del lote. El socio privado debe estar preparado para cubrir los aportes que la estatal no alcance a hacer, y ese sobrecosto se descuenta de cualquier oferta. El resultado se vio en 2025: el concurso del Z-69 quedó desierto, sin un solo postor, y en los lotes I y VI de Talara, adjudicados a consorcios privados en octubre, Petroperú compitió y quedó tercera en el primero y descalificada en el segundo. Mientras la reestructuración no se resuelva, cada ronda del noroeste cargará ese descuento.</w:t>
      </w:r>
    </w:p>
    <w:p w14:paraId="33D42D9C" w14:textId="50B6535B" w:rsidR="00B313C1" w:rsidRDefault="00B313C1">
      <w:pPr>
        <w:keepLines/>
        <w:rPr>
          <w:lang w:val="es-PE"/>
        </w:rPr>
      </w:pPr>
      <w:r w:rsidRPr="00486573">
        <w:rPr>
          <w:lang w:val="es-PE"/>
        </w:rPr>
        <w:t xml:space="preserve">El deterioro de esos lotes viene de más atrás y tiene relación con cómo se administraron. Entre 2021 y 2023, al vencer los contratos de los operadores privados del noroeste, el Estado entregó su explotación a Petroperú mediante contratos temporales (el </w:t>
      </w:r>
      <w:r>
        <w:rPr>
          <w:lang w:val="es-PE"/>
        </w:rPr>
        <w:t>L</w:t>
      </w:r>
      <w:r w:rsidRPr="00486573">
        <w:rPr>
          <w:lang w:val="es-PE"/>
        </w:rPr>
        <w:t xml:space="preserve">ote I en diciembre de 2021 y los lotes I, VI y Z-69, de nuevo, en el segundo semestre de 2023) con compromisos limitados al mantenimiento y al reacondicionamiento de pozos, sin perforación ni reposición de reservas. Con horizontes de pocos meses o de un par de años, ninguna empresa invierte en un yacimiento, y la producción lo reflejó. El </w:t>
      </w:r>
      <w:r>
        <w:rPr>
          <w:lang w:val="es-PE"/>
        </w:rPr>
        <w:t>L</w:t>
      </w:r>
      <w:r w:rsidRPr="00486573">
        <w:rPr>
          <w:lang w:val="es-PE"/>
        </w:rPr>
        <w:t>ote I pasó de unos 540 a unos 440 barriles diarios, el VI de unos 2.000 a unos 1.350, y el Z-69 de 14 a menos de 9 millones de pies cúbicos diarios de gas natural. Los lotes llegaron deteriorados a sus relicitaciones: los nuevos operadores de los lotes I y VI comprometieron programas de perforación de cientos de pozos para recuperar la producción perdida, y el Z-69 no encontró postor.</w:t>
      </w:r>
    </w:p>
    <w:p w14:paraId="407742D4" w14:textId="2FE9B512" w:rsidR="00B313C1" w:rsidRPr="00486573" w:rsidRDefault="00B313C1">
      <w:pPr>
        <w:keepNext/>
        <w:keepLines/>
        <w:rPr>
          <w:lang w:val="es-PE"/>
        </w:rPr>
      </w:pPr>
      <w:r w:rsidRPr="00486573">
        <w:rPr>
          <w:b/>
          <w:color w:val="15607F"/>
          <w:sz w:val="23"/>
          <w:lang w:val="es-PE"/>
        </w:rPr>
        <w:lastRenderedPageBreak/>
        <w:t>El pago a los proveedores</w:t>
      </w:r>
    </w:p>
    <w:p w14:paraId="3A4B8899" w14:textId="481AFD11" w:rsidR="00B313C1" w:rsidRPr="00486573" w:rsidRDefault="00B313C1">
      <w:pPr>
        <w:keepLines/>
        <w:rPr>
          <w:lang w:val="es-PE"/>
        </w:rPr>
      </w:pPr>
      <w:r w:rsidRPr="00486573">
        <w:rPr>
          <w:lang w:val="es-PE"/>
        </w:rPr>
        <w:t>El segundo punto de contacto es comercial. Al cierre de 2025</w:t>
      </w:r>
      <w:r>
        <w:rPr>
          <w:lang w:val="es-PE"/>
        </w:rPr>
        <w:t>,</w:t>
      </w:r>
      <w:r w:rsidRPr="00486573">
        <w:rPr>
          <w:lang w:val="es-PE"/>
        </w:rPr>
        <w:t xml:space="preserve"> la empresa mantenía cuentas por pagar comerciales por más de US$ 1.200 millones, de los cuales del orden de US$ 770 millones correspondían a obligaciones vencidas con cerca de trescientas empresas. Su propio informe de rendición de cuentas de marzo de 2026 reconoce demoras en el cumplimiento de obligaciones con proveedores y contratistas estratégicos. Entre los acreedores están las propias empresas productoras de crudo: seis operadores de lotes del noroeste reclamaron a fines de 2025 más de US$ 120 millones vencidos por la venta de su producción a la refinería, y uno de ellos –Unna Energía, operadora de los lotes III y IV</w:t>
      </w:r>
      <w:r>
        <w:rPr>
          <w:lang w:val="es-PE"/>
        </w:rPr>
        <w:t>–</w:t>
      </w:r>
      <w:r w:rsidRPr="00486573">
        <w:rPr>
          <w:lang w:val="es-PE"/>
        </w:rPr>
        <w:t xml:space="preserve"> solicitó ante Indecopi el inicio de un procedimiento concursal contra la petrolera. La solicitud se conoció el 20 de diciembre de 2025. </w:t>
      </w:r>
      <w:r>
        <w:rPr>
          <w:lang w:val="es-PE"/>
        </w:rPr>
        <w:t xml:space="preserve">El Ejecutivo, 11 </w:t>
      </w:r>
      <w:r w:rsidRPr="00486573">
        <w:rPr>
          <w:lang w:val="es-PE"/>
        </w:rPr>
        <w:t>días después, publicó el decreto de urgencia que ordenó la reorganización de la empresa, y</w:t>
      </w:r>
      <w:r>
        <w:rPr>
          <w:lang w:val="es-PE"/>
        </w:rPr>
        <w:t>,</w:t>
      </w:r>
      <w:r w:rsidRPr="00486573">
        <w:rPr>
          <w:lang w:val="es-PE"/>
        </w:rPr>
        <w:t xml:space="preserve"> a mediados de enero, tras negociarse los pagos, la solicitud fue retirada.</w:t>
      </w:r>
    </w:p>
    <w:p w14:paraId="1791EFCD" w14:textId="77777777" w:rsidR="00B313C1" w:rsidRPr="00486573" w:rsidRDefault="00B313C1">
      <w:pPr>
        <w:keepLines/>
        <w:rPr>
          <w:lang w:val="es-PE"/>
        </w:rPr>
      </w:pPr>
      <w:r w:rsidRPr="00486573">
        <w:rPr>
          <w:lang w:val="es-PE"/>
        </w:rPr>
        <w:t>El caso que toca directamente al gas natural es el de la refinería de Talara, que consume gas natural de la concesión de distribución de Piura bajo un contrato suscrito en 2021 por 11,5 millones de pies cúbicos diarios, destinado a sus hornos, calderas y producción de hidrógeno. En diciembre de 2025</w:t>
      </w:r>
      <w:r>
        <w:rPr>
          <w:lang w:val="es-PE"/>
        </w:rPr>
        <w:t>,</w:t>
      </w:r>
      <w:r w:rsidRPr="00486573">
        <w:rPr>
          <w:lang w:val="es-PE"/>
        </w:rPr>
        <w:t xml:space="preserve"> la refinería acumulaba más de dos meses de facturas impagas y el distribuidor comunicó la inminencia del corte del suministro, que el reglamento habilita al vencimiento de dos recibos. Cuando el principal cliente industrial de una concesión deja de pagar, el riesgo de crédito se traslada a la concesión y, con él, a su capacidad de sostener el plan de inversiones que financia la masificación en esa región.</w:t>
      </w:r>
    </w:p>
    <w:p w14:paraId="43BE7D8D" w14:textId="14557874" w:rsidR="00B313C1" w:rsidRPr="00486573" w:rsidRDefault="00B313C1">
      <w:pPr>
        <w:keepLines/>
        <w:rPr>
          <w:lang w:val="es-PE"/>
        </w:rPr>
      </w:pPr>
      <w:r w:rsidRPr="00486573">
        <w:rPr>
          <w:lang w:val="es-PE"/>
        </w:rPr>
        <w:t xml:space="preserve">La tercera vía es la administración provisional de la Concesión Sur Oeste </w:t>
      </w:r>
      <w:r>
        <w:rPr>
          <w:lang w:val="es-PE"/>
        </w:rPr>
        <w:t>–</w:t>
      </w:r>
      <w:r w:rsidRPr="00486573">
        <w:rPr>
          <w:lang w:val="es-PE"/>
        </w:rPr>
        <w:t>Arequipa, Moquegua y Tacna</w:t>
      </w:r>
      <w:r>
        <w:rPr>
          <w:lang w:val="es-PE"/>
        </w:rPr>
        <w:t>–</w:t>
      </w:r>
      <w:r w:rsidRPr="00486573">
        <w:rPr>
          <w:lang w:val="es-PE"/>
        </w:rPr>
        <w:t>, que la empresa estatal asumió tras la caducidad de la concesión original en 2020. Seis años después</w:t>
      </w:r>
      <w:r>
        <w:rPr>
          <w:lang w:val="es-PE"/>
        </w:rPr>
        <w:t>,</w:t>
      </w:r>
      <w:r w:rsidRPr="00486573">
        <w:rPr>
          <w:lang w:val="es-PE"/>
        </w:rPr>
        <w:t xml:space="preserve"> la red sigue congelada, </w:t>
      </w:r>
      <w:r>
        <w:rPr>
          <w:lang w:val="es-PE"/>
        </w:rPr>
        <w:t xml:space="preserve">19 </w:t>
      </w:r>
      <w:r w:rsidRPr="00486573">
        <w:rPr>
          <w:lang w:val="es-PE"/>
        </w:rPr>
        <w:t>clientes industriales explican el 91 % del volumen y el servicio se sostiene con una transferencia anual del Estado. Su situación y su calendario se desarrollan en la sección 6.1.</w:t>
      </w:r>
    </w:p>
    <w:p w14:paraId="2097FBFC" w14:textId="66E0AC6B" w:rsidR="00B313C1" w:rsidRPr="00486573" w:rsidRDefault="00B313C1">
      <w:pPr>
        <w:keepLines/>
        <w:rPr>
          <w:lang w:val="es-PE"/>
        </w:rPr>
      </w:pPr>
      <w:r w:rsidRPr="00486573">
        <w:rPr>
          <w:lang w:val="es-PE"/>
        </w:rPr>
        <w:t xml:space="preserve">El riesgo de fondo, sin embargo, es otro: que el concurso quede desierto. Lo que se ofrecerá es una concesión con menos de </w:t>
      </w:r>
      <w:r>
        <w:rPr>
          <w:lang w:val="es-PE"/>
        </w:rPr>
        <w:t>14.000 clientes, abastecida exclusivamente por cisternas a mil kilómetros de la planta de licuefacción, sin gasoducto a la vista y bajo el mismo marco tarifario cuya previsibilidad está en cuestión en la primera parte de esta sección. El precedente del L</w:t>
      </w:r>
      <w:r w:rsidRPr="00486573">
        <w:rPr>
          <w:lang w:val="es-PE"/>
        </w:rPr>
        <w:t xml:space="preserve">ote Z-69 muestra que un concurso sin condiciones competitivas puede terminar sin postores. Reducir ese riesgo está en manos del propio Estado: anunciar con anticipación cómo se cubrirá la transición, publicar bases que resuelvan el tratamiento de los activos financiados con recursos públicos y la transferencia de los usuarios, incorporar un reparto explícito del riesgo de demanda </w:t>
      </w:r>
      <w:r>
        <w:rPr>
          <w:lang w:val="es-PE"/>
        </w:rPr>
        <w:t>–</w:t>
      </w:r>
      <w:r w:rsidRPr="00486573">
        <w:rPr>
          <w:lang w:val="es-PE"/>
        </w:rPr>
        <w:t xml:space="preserve">la concesión original no caducó por falta de demanda potencial, sino porque el concesionario asumió </w:t>
      </w:r>
      <w:r>
        <w:rPr>
          <w:lang w:val="es-PE"/>
        </w:rPr>
        <w:t xml:space="preserve">íntegramente </w:t>
      </w:r>
      <w:r w:rsidRPr="00486573">
        <w:rPr>
          <w:lang w:val="es-PE"/>
        </w:rPr>
        <w:t>un riesgo que no controlaba</w:t>
      </w:r>
      <w:r>
        <w:rPr>
          <w:lang w:val="es-PE"/>
        </w:rPr>
        <w:t>–</w:t>
      </w:r>
      <w:r w:rsidRPr="00486573">
        <w:rPr>
          <w:lang w:val="es-PE"/>
        </w:rPr>
        <w:t xml:space="preserve"> y sincronizar la decisión del sur con la del transporte.</w:t>
      </w:r>
    </w:p>
    <w:p w14:paraId="7E6C3516" w14:textId="77777777" w:rsidR="00B313C1" w:rsidRPr="00486573" w:rsidRDefault="00B313C1">
      <w:pPr>
        <w:pStyle w:val="Ttulo2"/>
        <w:rPr>
          <w:lang w:val="es-PE"/>
        </w:rPr>
      </w:pPr>
      <w:bookmarkStart w:id="48" w:name="_Idx_6_4"/>
      <w:r w:rsidRPr="00486573">
        <w:rPr>
          <w:lang w:val="es-PE"/>
        </w:rPr>
        <w:lastRenderedPageBreak/>
        <w:t>6.4. Otros retos y propuestas</w:t>
      </w:r>
      <w:bookmarkEnd w:id="48"/>
    </w:p>
    <w:p w14:paraId="183D7765" w14:textId="77777777" w:rsidR="00B313C1" w:rsidRPr="00486573" w:rsidRDefault="00B313C1">
      <w:pPr>
        <w:keepNext/>
        <w:keepLines/>
        <w:spacing w:before="280" w:after="120"/>
        <w:rPr>
          <w:lang w:val="es-PE"/>
        </w:rPr>
      </w:pPr>
      <w:r w:rsidRPr="00486573">
        <w:rPr>
          <w:b/>
          <w:color w:val="1F3864"/>
          <w:sz w:val="24"/>
          <w:lang w:val="es-PE"/>
        </w:rPr>
        <w:t>Articular la masificación con las nuevas autoridades subnacionales</w:t>
      </w:r>
    </w:p>
    <w:p w14:paraId="091A0E79" w14:textId="170402C3" w:rsidR="00B313C1" w:rsidRPr="00486573" w:rsidRDefault="00B313C1">
      <w:pPr>
        <w:keepLines/>
        <w:rPr>
          <w:lang w:val="es-PE"/>
        </w:rPr>
      </w:pPr>
      <w:r w:rsidRPr="00486573">
        <w:rPr>
          <w:lang w:val="es-PE"/>
        </w:rPr>
        <w:t xml:space="preserve">El gas natural es un servicio público nacional en su regulación y municipal en su ejecución: cada kilómetro de red necesita autorizaciones locales y, en materia ambiental, una autorización regional. El 4 de octubre de 2026 el país eligió </w:t>
      </w:r>
      <w:r>
        <w:rPr>
          <w:lang w:val="es-PE"/>
        </w:rPr>
        <w:t xml:space="preserve">25 </w:t>
      </w:r>
      <w:r w:rsidRPr="00486573">
        <w:rPr>
          <w:lang w:val="es-PE"/>
        </w:rPr>
        <w:t xml:space="preserve">gobiernos regionales y 1.892 municipalidades </w:t>
      </w:r>
      <w:r>
        <w:rPr>
          <w:lang w:val="es-PE"/>
        </w:rPr>
        <w:t>–</w:t>
      </w:r>
      <w:r w:rsidRPr="00486573">
        <w:rPr>
          <w:lang w:val="es-PE"/>
        </w:rPr>
        <w:t>196 provinciales y 1.696 distritales</w:t>
      </w:r>
      <w:r>
        <w:rPr>
          <w:lang w:val="es-PE"/>
        </w:rPr>
        <w:t>–</w:t>
      </w:r>
      <w:r w:rsidRPr="00486573">
        <w:rPr>
          <w:lang w:val="es-PE"/>
        </w:rPr>
        <w:t xml:space="preserve">, y todas las nuevas autoridades asumirán el mismo día, el </w:t>
      </w:r>
      <w:r>
        <w:rPr>
          <w:lang w:val="es-PE"/>
        </w:rPr>
        <w:t xml:space="preserve">primero </w:t>
      </w:r>
      <w:r w:rsidRPr="00486573">
        <w:rPr>
          <w:lang w:val="es-PE"/>
        </w:rPr>
        <w:t>de enero de 2027, para un mandato de cuatro años sin reelección inmediata. Los proyectos de masificación que describe este capítulo abarcan plazos que exceden ese mandato.</w:t>
      </w:r>
    </w:p>
    <w:p w14:paraId="14CEE225" w14:textId="77777777" w:rsidR="00B313C1" w:rsidRDefault="00B313C1">
      <w:pPr>
        <w:keepNext/>
        <w:spacing w:before="160"/>
        <w:jc w:val="center"/>
      </w:pPr>
      <w:r>
        <w:rPr>
          <w:noProof/>
        </w:rPr>
        <w:drawing>
          <wp:inline distT="0" distB="0" distL="0" distR="0" wp14:anchorId="06CD2816" wp14:editId="07878779">
            <wp:extent cx="4320000" cy="3215896"/>
            <wp:effectExtent l="0" t="0" r="0" b="0"/>
            <wp:docPr id="90113" name="Picture 9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02.png"/>
                    <pic:cNvPicPr/>
                  </pic:nvPicPr>
                  <pic:blipFill>
                    <a:blip r:embed="rId114"/>
                    <a:stretch>
                      <a:fillRect/>
                    </a:stretch>
                  </pic:blipFill>
                  <pic:spPr>
                    <a:xfrm>
                      <a:off x="0" y="0"/>
                      <a:ext cx="4320000" cy="3215896"/>
                    </a:xfrm>
                    <a:prstGeom prst="rect">
                      <a:avLst/>
                    </a:prstGeom>
                  </pic:spPr>
                </pic:pic>
              </a:graphicData>
            </a:graphic>
          </wp:inline>
        </w:drawing>
      </w:r>
    </w:p>
    <w:p w14:paraId="1DBD9FE3" w14:textId="77777777" w:rsidR="00B313C1" w:rsidRPr="00486573" w:rsidRDefault="00B313C1">
      <w:pPr>
        <w:keepLines/>
        <w:rPr>
          <w:lang w:val="es-PE"/>
        </w:rPr>
      </w:pPr>
      <w:r w:rsidRPr="00486573">
        <w:rPr>
          <w:lang w:val="es-PE"/>
        </w:rPr>
        <w:t xml:space="preserve">El costo de esa asincronía está medido. El Instituto Peruano de Economía estima que los primeros años de gestión de nuevas autoridades subnacionales han supuesto una menor inversión del orden de S/ 3.000 millones, un patrón que se repitió en tres ciclos electorales consecutivos. En enero de 2023, primer mes completo de las autoridades entrantes, la inversión de los gobiernos regionales cayó 39 % y la de los gobiernos locales 58 % frente al mismo mes del año anterior; en el año completo, los gobiernos locales fueron el único nivel de gobierno que se contrajo, con una caída de 11 %. Las razones son conocidas y se repiten: equipos técnicos nuevos que tardan en aprender la gestión de la inversión pública, expedientes que se </w:t>
      </w:r>
      <w:r w:rsidRPr="00486573" w:rsidDel="00E27C85">
        <w:rPr>
          <w:lang w:val="es-PE"/>
        </w:rPr>
        <w:t xml:space="preserve">reevalúan </w:t>
      </w:r>
      <w:r w:rsidRPr="00486573">
        <w:rPr>
          <w:lang w:val="es-PE"/>
        </w:rPr>
        <w:t>y prioridades que cambian con cada gestión. A eso se suma una carencia más básica: solo un tercio de las municipalidades del país cuenta con catastro, y más de la mitad de las que operan en zonas de concesión pide capacitación o asistencia técnica en la materia. Para un proyecto de red que necesita atravesar tres mandatos subnacionales sin perder continuidad, eso significa rehacer la relación desde cero cada cuatro años.</w:t>
      </w:r>
    </w:p>
    <w:p w14:paraId="0EAB89B4" w14:textId="11BEBE93" w:rsidR="00B313C1" w:rsidRPr="00486573" w:rsidRDefault="00B313C1">
      <w:pPr>
        <w:keepLines/>
        <w:rPr>
          <w:lang w:val="es-PE"/>
        </w:rPr>
      </w:pPr>
      <w:r w:rsidRPr="00486573">
        <w:rPr>
          <w:lang w:val="es-PE"/>
        </w:rPr>
        <w:t xml:space="preserve">Los </w:t>
      </w:r>
      <w:r>
        <w:rPr>
          <w:lang w:val="es-PE"/>
        </w:rPr>
        <w:t>‘</w:t>
      </w:r>
      <w:r w:rsidRPr="00486573">
        <w:rPr>
          <w:lang w:val="es-PE"/>
        </w:rPr>
        <w:t>permisos municipales</w:t>
      </w:r>
      <w:r>
        <w:rPr>
          <w:lang w:val="es-PE"/>
        </w:rPr>
        <w:t>’</w:t>
      </w:r>
      <w:r w:rsidRPr="00486573">
        <w:rPr>
          <w:lang w:val="es-PE"/>
        </w:rPr>
        <w:t xml:space="preserve"> son, en realidad, tres autorizaciones distintas, de tres naturalezas distintas, y ninguna la otorga el sector energía; a ellas se suma una cuarta, regional y casi nunca mencionada. El </w:t>
      </w:r>
      <w:r>
        <w:rPr>
          <w:lang w:val="es-PE"/>
        </w:rPr>
        <w:t>G</w:t>
      </w:r>
      <w:r w:rsidRPr="00486573">
        <w:rPr>
          <w:lang w:val="es-PE"/>
        </w:rPr>
        <w:t>obierno regional, entonces, no es solo un aliado político deseable: es una autoridad con competencia resolutiva sobre las redes.</w:t>
      </w:r>
    </w:p>
    <w:p w14:paraId="65CE87BE" w14:textId="77777777" w:rsidR="00B313C1" w:rsidRPr="00486573" w:rsidRDefault="00B313C1">
      <w:pPr>
        <w:keepNext/>
        <w:keepLines/>
        <w:spacing w:before="200" w:after="0"/>
        <w:jc w:val="center"/>
        <w:rPr>
          <w:lang w:val="es-PE"/>
        </w:rPr>
      </w:pPr>
      <w:r w:rsidRPr="00486573">
        <w:rPr>
          <w:b/>
          <w:color w:val="15607F"/>
          <w:sz w:val="22"/>
          <w:lang w:val="es-PE"/>
        </w:rPr>
        <w:lastRenderedPageBreak/>
        <w:t>LOS PERMISOS QUE NECESITA UN KILÓMETRO DE RED</w:t>
      </w:r>
    </w:p>
    <w:p w14:paraId="3F3A7D8F" w14:textId="77777777" w:rsidR="00B313C1" w:rsidRDefault="00B313C1">
      <w:pPr>
        <w:keepNext/>
        <w:keepLines/>
        <w:spacing w:after="40"/>
        <w:jc w:val="center"/>
      </w:pPr>
      <w:r>
        <w:rPr>
          <w:color w:val="595959"/>
          <w:sz w:val="18"/>
        </w:rPr>
        <w:t>Autorizaciones previas al tendido</w:t>
      </w:r>
    </w:p>
    <w:tbl>
      <w:tblPr>
        <w:tblStyle w:val="Tablaconcuadrcula"/>
        <w:tblW w:w="0" w:type="auto"/>
        <w:tblLayout w:type="fixed"/>
        <w:tblLook w:val="04A0" w:firstRow="1" w:lastRow="0" w:firstColumn="1" w:lastColumn="0" w:noHBand="0" w:noVBand="1"/>
      </w:tblPr>
      <w:tblGrid>
        <w:gridCol w:w="2721"/>
        <w:gridCol w:w="2948"/>
        <w:gridCol w:w="2835"/>
      </w:tblGrid>
      <w:tr w:rsidR="00855697" w14:paraId="10A2B836" w14:textId="77777777">
        <w:trPr>
          <w:cantSplit/>
          <w:tblHeader/>
        </w:trPr>
        <w:tc>
          <w:tcPr>
            <w:tcW w:w="2721" w:type="dxa"/>
            <w:shd w:val="clear" w:color="auto" w:fill="15607F"/>
          </w:tcPr>
          <w:p w14:paraId="41EFA241" w14:textId="77777777" w:rsidR="00B313C1" w:rsidRDefault="00B313C1">
            <w:pPr>
              <w:keepNext/>
              <w:jc w:val="center"/>
            </w:pPr>
            <w:r>
              <w:rPr>
                <w:b/>
                <w:color w:val="FFFFFF"/>
                <w:sz w:val="17"/>
              </w:rPr>
              <w:t>Autorización</w:t>
            </w:r>
          </w:p>
        </w:tc>
        <w:tc>
          <w:tcPr>
            <w:tcW w:w="2948" w:type="dxa"/>
            <w:shd w:val="clear" w:color="auto" w:fill="15607F"/>
          </w:tcPr>
          <w:p w14:paraId="21306025" w14:textId="77777777" w:rsidR="00B313C1" w:rsidRDefault="00B313C1">
            <w:pPr>
              <w:keepNext/>
              <w:jc w:val="center"/>
            </w:pPr>
            <w:r>
              <w:rPr>
                <w:b/>
                <w:color w:val="FFFFFF"/>
                <w:sz w:val="17"/>
              </w:rPr>
              <w:t>Quién la otorga</w:t>
            </w:r>
          </w:p>
        </w:tc>
        <w:tc>
          <w:tcPr>
            <w:tcW w:w="2835" w:type="dxa"/>
            <w:shd w:val="clear" w:color="auto" w:fill="15607F"/>
          </w:tcPr>
          <w:p w14:paraId="57E53EB0" w14:textId="77777777" w:rsidR="00B313C1" w:rsidRDefault="00B313C1">
            <w:pPr>
              <w:keepNext/>
              <w:jc w:val="center"/>
            </w:pPr>
            <w:r>
              <w:rPr>
                <w:b/>
                <w:color w:val="FFFFFF"/>
                <w:sz w:val="17"/>
              </w:rPr>
              <w:t>Qué habilita</w:t>
            </w:r>
          </w:p>
        </w:tc>
      </w:tr>
      <w:tr w:rsidR="00855697" w:rsidRPr="001D477C" w14:paraId="1746F8E6" w14:textId="77777777">
        <w:trPr>
          <w:cantSplit/>
        </w:trPr>
        <w:tc>
          <w:tcPr>
            <w:tcW w:w="2721" w:type="dxa"/>
          </w:tcPr>
          <w:p w14:paraId="4D81B407" w14:textId="77777777" w:rsidR="00B313C1" w:rsidRPr="00486573" w:rsidRDefault="00B313C1">
            <w:pPr>
              <w:keepNext/>
              <w:jc w:val="left"/>
              <w:rPr>
                <w:lang w:val="es-PE"/>
              </w:rPr>
            </w:pPr>
            <w:r w:rsidRPr="00486573">
              <w:rPr>
                <w:sz w:val="17"/>
                <w:lang w:val="es-PE"/>
              </w:rPr>
              <w:t>Ejecución de obra en la vía pública</w:t>
            </w:r>
          </w:p>
        </w:tc>
        <w:tc>
          <w:tcPr>
            <w:tcW w:w="2948" w:type="dxa"/>
          </w:tcPr>
          <w:p w14:paraId="03E4442B" w14:textId="77777777" w:rsidR="00B313C1" w:rsidRDefault="00B313C1">
            <w:pPr>
              <w:keepNext/>
              <w:jc w:val="center"/>
            </w:pPr>
            <w:r>
              <w:rPr>
                <w:sz w:val="17"/>
              </w:rPr>
              <w:t>Municipalidad distrital o provincial</w:t>
            </w:r>
          </w:p>
        </w:tc>
        <w:tc>
          <w:tcPr>
            <w:tcW w:w="2835" w:type="dxa"/>
          </w:tcPr>
          <w:p w14:paraId="6717CE01" w14:textId="77777777" w:rsidR="00B313C1" w:rsidRPr="00486573" w:rsidRDefault="00B313C1">
            <w:pPr>
              <w:keepNext/>
              <w:jc w:val="center"/>
              <w:rPr>
                <w:lang w:val="es-PE"/>
              </w:rPr>
            </w:pPr>
            <w:r w:rsidRPr="00486573">
              <w:rPr>
                <w:sz w:val="17"/>
                <w:lang w:val="es-PE"/>
              </w:rPr>
              <w:t>Abrir la calzada o la vereda</w:t>
            </w:r>
          </w:p>
        </w:tc>
      </w:tr>
      <w:tr w:rsidR="00855697" w:rsidRPr="001D477C" w14:paraId="5EBD9EFF" w14:textId="77777777">
        <w:trPr>
          <w:cantSplit/>
        </w:trPr>
        <w:tc>
          <w:tcPr>
            <w:tcW w:w="2721" w:type="dxa"/>
          </w:tcPr>
          <w:p w14:paraId="18C73EB0" w14:textId="77777777" w:rsidR="00B313C1" w:rsidRDefault="00B313C1">
            <w:pPr>
              <w:keepNext/>
              <w:jc w:val="left"/>
            </w:pPr>
            <w:r>
              <w:rPr>
                <w:sz w:val="17"/>
              </w:rPr>
              <w:t>Interferencia de vías</w:t>
            </w:r>
          </w:p>
        </w:tc>
        <w:tc>
          <w:tcPr>
            <w:tcW w:w="2948" w:type="dxa"/>
          </w:tcPr>
          <w:p w14:paraId="2EBCA315" w14:textId="77777777" w:rsidR="00B313C1" w:rsidRPr="00486573" w:rsidRDefault="00B313C1">
            <w:pPr>
              <w:keepNext/>
              <w:jc w:val="center"/>
              <w:rPr>
                <w:lang w:val="es-PE"/>
              </w:rPr>
            </w:pPr>
            <w:r w:rsidRPr="00486573">
              <w:rPr>
                <w:sz w:val="17"/>
                <w:lang w:val="es-PE"/>
              </w:rPr>
              <w:t>Municipalidad provincial; en Lima, la municipalidad metropolitana</w:t>
            </w:r>
          </w:p>
        </w:tc>
        <w:tc>
          <w:tcPr>
            <w:tcW w:w="2835" w:type="dxa"/>
          </w:tcPr>
          <w:p w14:paraId="15C91880" w14:textId="77777777" w:rsidR="00B313C1" w:rsidRPr="00486573" w:rsidRDefault="00B313C1">
            <w:pPr>
              <w:keepNext/>
              <w:jc w:val="center"/>
              <w:rPr>
                <w:lang w:val="es-PE"/>
              </w:rPr>
            </w:pPr>
            <w:r w:rsidRPr="00486573">
              <w:rPr>
                <w:sz w:val="17"/>
                <w:lang w:val="es-PE"/>
              </w:rPr>
              <w:t>Ocupar la vía y desviar el tránsito</w:t>
            </w:r>
          </w:p>
        </w:tc>
      </w:tr>
      <w:tr w:rsidR="00855697" w:rsidRPr="001D477C" w14:paraId="2A6AF786" w14:textId="77777777">
        <w:trPr>
          <w:cantSplit/>
        </w:trPr>
        <w:tc>
          <w:tcPr>
            <w:tcW w:w="2721" w:type="dxa"/>
          </w:tcPr>
          <w:p w14:paraId="2B8974D4" w14:textId="77777777" w:rsidR="00B313C1" w:rsidRPr="00486573" w:rsidRDefault="00B313C1">
            <w:pPr>
              <w:keepNext/>
              <w:jc w:val="left"/>
              <w:rPr>
                <w:lang w:val="es-PE"/>
              </w:rPr>
            </w:pPr>
            <w:r w:rsidRPr="00486573">
              <w:rPr>
                <w:sz w:val="17"/>
                <w:lang w:val="es-PE"/>
              </w:rPr>
              <w:t>Instalación de estación de regulación de presión</w:t>
            </w:r>
          </w:p>
        </w:tc>
        <w:tc>
          <w:tcPr>
            <w:tcW w:w="2948" w:type="dxa"/>
          </w:tcPr>
          <w:p w14:paraId="5353BAD6" w14:textId="77777777" w:rsidR="00B313C1" w:rsidRDefault="00B313C1">
            <w:pPr>
              <w:keepNext/>
              <w:jc w:val="center"/>
            </w:pPr>
            <w:r>
              <w:rPr>
                <w:sz w:val="17"/>
              </w:rPr>
              <w:t>Municipalidad distrital</w:t>
            </w:r>
          </w:p>
        </w:tc>
        <w:tc>
          <w:tcPr>
            <w:tcW w:w="2835" w:type="dxa"/>
          </w:tcPr>
          <w:p w14:paraId="4E338B11" w14:textId="77777777" w:rsidR="00B313C1" w:rsidRPr="00486573" w:rsidRDefault="00B313C1">
            <w:pPr>
              <w:keepNext/>
              <w:jc w:val="center"/>
              <w:rPr>
                <w:lang w:val="es-PE"/>
              </w:rPr>
            </w:pPr>
            <w:r w:rsidRPr="00486573">
              <w:rPr>
                <w:sz w:val="17"/>
                <w:lang w:val="es-PE"/>
              </w:rPr>
              <w:t>Instalar el equipo del que depende un anillo entero de red</w:t>
            </w:r>
          </w:p>
        </w:tc>
      </w:tr>
      <w:tr w:rsidR="00855697" w:rsidRPr="001D477C" w14:paraId="2B6DAF1B" w14:textId="77777777">
        <w:trPr>
          <w:cantSplit/>
        </w:trPr>
        <w:tc>
          <w:tcPr>
            <w:tcW w:w="2721" w:type="dxa"/>
          </w:tcPr>
          <w:p w14:paraId="64A69C2E" w14:textId="77777777" w:rsidR="00B313C1" w:rsidRDefault="00B313C1">
            <w:pPr>
              <w:keepNext/>
              <w:jc w:val="left"/>
            </w:pPr>
            <w:r>
              <w:rPr>
                <w:sz w:val="17"/>
              </w:rPr>
              <w:t>Instrumento de gestión ambiental</w:t>
            </w:r>
          </w:p>
        </w:tc>
        <w:tc>
          <w:tcPr>
            <w:tcW w:w="2948" w:type="dxa"/>
          </w:tcPr>
          <w:p w14:paraId="66C27C02" w14:textId="77777777" w:rsidR="00B313C1" w:rsidRPr="00486573" w:rsidRDefault="00B313C1">
            <w:pPr>
              <w:keepNext/>
              <w:jc w:val="center"/>
              <w:rPr>
                <w:lang w:val="es-PE"/>
              </w:rPr>
            </w:pPr>
            <w:r w:rsidRPr="00486573">
              <w:rPr>
                <w:sz w:val="17"/>
                <w:lang w:val="es-PE"/>
              </w:rPr>
              <w:t>Dirección Regional de Energía y Minas</w:t>
            </w:r>
          </w:p>
        </w:tc>
        <w:tc>
          <w:tcPr>
            <w:tcW w:w="2835" w:type="dxa"/>
          </w:tcPr>
          <w:p w14:paraId="4E1C36C3" w14:textId="77777777" w:rsidR="00B313C1" w:rsidRPr="00486573" w:rsidRDefault="00B313C1">
            <w:pPr>
              <w:keepNext/>
              <w:jc w:val="center"/>
              <w:rPr>
                <w:lang w:val="es-PE"/>
              </w:rPr>
            </w:pPr>
            <w:r w:rsidRPr="00486573">
              <w:rPr>
                <w:sz w:val="17"/>
                <w:lang w:val="es-PE"/>
              </w:rPr>
              <w:t>Ejecutar la obra desde el punto de vista ambiental</w:t>
            </w:r>
          </w:p>
        </w:tc>
      </w:tr>
    </w:tbl>
    <w:p w14:paraId="29E3779A" w14:textId="77777777" w:rsidR="00B313C1" w:rsidRPr="00486573" w:rsidRDefault="00B313C1">
      <w:pPr>
        <w:keepNext/>
        <w:spacing w:after="0"/>
        <w:rPr>
          <w:lang w:val="es-PE"/>
        </w:rPr>
      </w:pPr>
    </w:p>
    <w:p w14:paraId="16700BCA" w14:textId="77777777" w:rsidR="00B313C1" w:rsidRPr="00486573" w:rsidRDefault="00B313C1">
      <w:pPr>
        <w:keepNext/>
        <w:keepLines/>
        <w:spacing w:after="0"/>
        <w:rPr>
          <w:lang w:val="es-PE"/>
        </w:rPr>
      </w:pPr>
      <w:r w:rsidRPr="00486573">
        <w:rPr>
          <w:i/>
          <w:color w:val="595959"/>
          <w:sz w:val="15"/>
          <w:lang w:val="es-PE"/>
        </w:rPr>
        <w:t>La evaluación y aprobación de los instrumentos de gestión ambiental de la distribución de gas natural fue transferida a las direcciones regionales en 2011, en el marco del proceso de descentralización.</w:t>
      </w:r>
    </w:p>
    <w:p w14:paraId="63810ABD" w14:textId="5DA1BB1B" w:rsidR="00B313C1" w:rsidRPr="00486573" w:rsidRDefault="00B313C1">
      <w:pPr>
        <w:keepLines/>
        <w:spacing w:after="200"/>
        <w:jc w:val="right"/>
        <w:rPr>
          <w:lang w:val="es-PE"/>
        </w:rPr>
      </w:pPr>
      <w:r w:rsidRPr="00486573">
        <w:rPr>
          <w:b/>
          <w:color w:val="404040"/>
          <w:sz w:val="15"/>
          <w:lang w:val="es-PE"/>
        </w:rPr>
        <w:t xml:space="preserve">FUENTE: </w:t>
      </w:r>
      <w:r>
        <w:rPr>
          <w:b/>
          <w:color w:val="404040"/>
          <w:sz w:val="15"/>
          <w:lang w:val="es-PE"/>
        </w:rPr>
        <w:t>M</w:t>
      </w:r>
      <w:r w:rsidRPr="00486573">
        <w:rPr>
          <w:b/>
          <w:color w:val="404040"/>
          <w:sz w:val="15"/>
          <w:lang w:val="es-PE"/>
        </w:rPr>
        <w:t>emorias anuales de las empresas concesionarias; normativa sectorial</w:t>
      </w:r>
    </w:p>
    <w:p w14:paraId="6885E400" w14:textId="1084A863" w:rsidR="00B313C1" w:rsidRPr="00486573" w:rsidRDefault="00B313C1">
      <w:pPr>
        <w:keepLines/>
        <w:rPr>
          <w:lang w:val="es-PE"/>
        </w:rPr>
      </w:pPr>
      <w:r w:rsidRPr="00486573">
        <w:rPr>
          <w:lang w:val="es-PE"/>
        </w:rPr>
        <w:t xml:space="preserve">En 2011 se aprobó una ley para facilitar las conexiones domiciliarias de gas natural, pero se quedó corta: solo alcanza a la acometida </w:t>
      </w:r>
      <w:r>
        <w:rPr>
          <w:lang w:val="es-PE"/>
        </w:rPr>
        <w:t>–</w:t>
      </w:r>
      <w:r w:rsidRPr="00486573">
        <w:rPr>
          <w:lang w:val="es-PE"/>
        </w:rPr>
        <w:t>la conexión de la vivienda</w:t>
      </w:r>
      <w:r>
        <w:rPr>
          <w:lang w:val="es-PE"/>
        </w:rPr>
        <w:t>–</w:t>
      </w:r>
      <w:r w:rsidRPr="00486573">
        <w:rPr>
          <w:lang w:val="es-PE"/>
        </w:rPr>
        <w:t xml:space="preserve"> y no al tendido de la red que la hace posible. El contraste se puede medir en una sola ordenanza: en Lima, la conexión domiciliaria tiene un plazo de siete días hábiles con silencio positivo, mientras que el procedimiento general de autorización tiene treinta días hábiles con silencio negativo. La solución no requiere una ley nueva. En 2016</w:t>
      </w:r>
      <w:r>
        <w:rPr>
          <w:lang w:val="es-PE"/>
        </w:rPr>
        <w:t>,</w:t>
      </w:r>
      <w:r w:rsidRPr="00486573">
        <w:rPr>
          <w:lang w:val="es-PE"/>
        </w:rPr>
        <w:t xml:space="preserve"> se </w:t>
      </w:r>
      <w:r w:rsidRPr="005A382D">
        <w:rPr>
          <w:lang w:val="es-ES_tradnl"/>
        </w:rPr>
        <w:t>sancionó</w:t>
      </w:r>
      <w:r w:rsidRPr="00486573">
        <w:rPr>
          <w:lang w:val="es-PE"/>
        </w:rPr>
        <w:t xml:space="preserve"> una ley de aprobación automática de las autorizaciones para la ejecución de obras de servicios públicos que incluye expresamente la distribución de gas natural. Su reglamento nunca se publicó</w:t>
      </w:r>
      <w:r>
        <w:rPr>
          <w:lang w:val="es-PE"/>
        </w:rPr>
        <w:t>,</w:t>
      </w:r>
      <w:r w:rsidRPr="00486573">
        <w:rPr>
          <w:lang w:val="es-PE"/>
        </w:rPr>
        <w:t xml:space="preserve"> pese a un plazo legal de ciento veinte días. Diez años después, solo existe un proyecto prepublicado en 2019. Reglamentarla es una tarea administrativa de bajo costo y con efecto directo sobre los plazos.</w:t>
      </w:r>
    </w:p>
    <w:p w14:paraId="7388D10D" w14:textId="77777777" w:rsidR="00B313C1" w:rsidRPr="00486573" w:rsidRDefault="00B313C1">
      <w:pPr>
        <w:keepLines/>
        <w:rPr>
          <w:lang w:val="es-PE"/>
        </w:rPr>
      </w:pPr>
      <w:r w:rsidRPr="00486573">
        <w:rPr>
          <w:lang w:val="es-PE"/>
        </w:rPr>
        <w:t>La magnitud del obstáculo se puede dimensionar por lo que el Estado ya corrige: en 2024, alrededor del 60 % de las barreras burocráticas que Indecopi eliminó o inaplicó en el sector construcción correspondía a procedimientos vinculados a la expansión de redes de gas, y más de la mitad de las de origen subnacional operaba en zonas de concesión. El costo agregado de estos trámites para un proyecto de red, en cambio, no se estima con metodología pública desde 2014, cuando se calcularon unos S/ 61 mil de cobros municipales por un proyecto estándar de ocho kilómetros.</w:t>
      </w:r>
    </w:p>
    <w:p w14:paraId="62C8E5FE" w14:textId="77777777" w:rsidR="00B313C1" w:rsidRPr="00486573" w:rsidRDefault="00B313C1">
      <w:pPr>
        <w:keepNext/>
        <w:keepLines/>
        <w:spacing w:before="220" w:after="80"/>
        <w:rPr>
          <w:lang w:val="es-PE"/>
        </w:rPr>
      </w:pPr>
      <w:r w:rsidRPr="00486573">
        <w:rPr>
          <w:b/>
          <w:color w:val="15607F"/>
          <w:sz w:val="23"/>
          <w:lang w:val="es-PE"/>
        </w:rPr>
        <w:t>El canon: una oportunidad de financiamiento disponible</w:t>
      </w:r>
    </w:p>
    <w:p w14:paraId="502C2E4B" w14:textId="44CACB7F" w:rsidR="00B313C1" w:rsidRDefault="00B313C1">
      <w:pPr>
        <w:keepLines/>
        <w:rPr>
          <w:lang w:val="es-PE"/>
        </w:rPr>
      </w:pPr>
      <w:r w:rsidRPr="00486573">
        <w:rPr>
          <w:lang w:val="es-PE"/>
        </w:rPr>
        <w:t>Los gobiernos regionales y locales pueden financiar directamente la masificación con su propio presupuesto. En 2012</w:t>
      </w:r>
      <w:r>
        <w:rPr>
          <w:lang w:val="es-PE"/>
        </w:rPr>
        <w:t>,</w:t>
      </w:r>
      <w:r w:rsidRPr="00486573">
        <w:rPr>
          <w:lang w:val="es-PE"/>
        </w:rPr>
        <w:t xml:space="preserve"> se aprobó una ley que les permite ejecutar, con cargo a los recursos del canon, obras de infraestructura destinadas a la masificación del gas natural </w:t>
      </w:r>
      <w:r>
        <w:rPr>
          <w:lang w:val="es-PE"/>
        </w:rPr>
        <w:t>–</w:t>
      </w:r>
      <w:r w:rsidRPr="00486573">
        <w:rPr>
          <w:lang w:val="es-PE"/>
        </w:rPr>
        <w:t>dentro de los lineamientos del Plan de Acceso Universal a la Energía del ministerio, cuya versión vigente cubre el periodo 2023-2027</w:t>
      </w:r>
      <w:r>
        <w:rPr>
          <w:lang w:val="es-PE"/>
        </w:rPr>
        <w:t>–</w:t>
      </w:r>
      <w:r w:rsidRPr="00486573">
        <w:rPr>
          <w:lang w:val="es-PE"/>
        </w:rPr>
        <w:t xml:space="preserve">, </w:t>
      </w:r>
      <w:r>
        <w:rPr>
          <w:lang w:val="es-PE"/>
        </w:rPr>
        <w:t xml:space="preserve">y queda </w:t>
      </w:r>
      <w:r w:rsidRPr="00486573">
        <w:rPr>
          <w:lang w:val="es-PE"/>
        </w:rPr>
        <w:t xml:space="preserve">el activo en propiedad del gobierno que aporta. En abril de 2025, la ley de masificación </w:t>
      </w:r>
      <w:r>
        <w:rPr>
          <w:lang w:val="es-PE"/>
        </w:rPr>
        <w:t>–</w:t>
      </w:r>
      <w:r w:rsidRPr="00486573">
        <w:rPr>
          <w:lang w:val="es-PE"/>
        </w:rPr>
        <w:t>la misma que creó la tarifa nivelada y cuyo reglamento sigue pendiente</w:t>
      </w:r>
      <w:r>
        <w:rPr>
          <w:lang w:val="es-PE"/>
        </w:rPr>
        <w:t>–</w:t>
      </w:r>
      <w:r w:rsidRPr="00486573">
        <w:rPr>
          <w:lang w:val="es-PE"/>
        </w:rPr>
        <w:t xml:space="preserve"> amplió esa habilitación al financiamiento con recursos del canon y de las regalías, con opinión favorable del Ministerio de Economía y Finanzas. La vía de 2012, en cambio, está reglamentada desde 2013 y puede usarse hoy. Aun así, prácticamente no se usa.</w:t>
      </w:r>
    </w:p>
    <w:p w14:paraId="35B0CCFA" w14:textId="77777777" w:rsidR="00FC0956" w:rsidRDefault="00FC0956">
      <w:pPr>
        <w:rPr>
          <w:lang w:val="es-PE"/>
        </w:rPr>
      </w:pPr>
    </w:p>
    <w:p w14:paraId="49F8D819" w14:textId="32ED99EF" w:rsidR="00B313C1" w:rsidRPr="00486573" w:rsidRDefault="00B313C1">
      <w:pPr>
        <w:keepLines/>
        <w:rPr>
          <w:lang w:val="es-PE"/>
        </w:rPr>
      </w:pPr>
      <w:r w:rsidRPr="00486573">
        <w:rPr>
          <w:lang w:val="es-PE"/>
        </w:rPr>
        <w:lastRenderedPageBreak/>
        <w:t xml:space="preserve">La magnitud de los recursos no es menor, y tampoco lo es la de los saldos sin ejecutar. El canon y sobrecanon de hidrocarburos transfirió S/ 1.138 millones entre enero y junio de 2026, con Cusco concentrando cerca del 70 % del total. Ese mismo departamento mantiene más de S/ 12.000 millones de canon gasífero sin ejecutar, sobre S/ 33.000 millones recibidos desde 2004, y en él la primera conexión domiciliaria de gas natural se realizó en enero de 2026. El Fondo de Desarrollo Socioeconómico de Camisea distribuyó, por su parte, S/ 319 millones entre enero y agosto de 2025. Una red de gas natural financiada con canon es, además, un uso de esos recursos que no depende de la capacidad de ejecución de obras del </w:t>
      </w:r>
      <w:r>
        <w:rPr>
          <w:lang w:val="es-PE"/>
        </w:rPr>
        <w:t>G</w:t>
      </w:r>
      <w:r w:rsidRPr="00486573">
        <w:rPr>
          <w:lang w:val="es-PE"/>
        </w:rPr>
        <w:t>obierno subnacional, porque la ejecuta el concesionario. Lo que falta no es dinero ni habilitación legal: son los lineamientos que resuelvan la titularidad del activo, su tratamiento en la base tarifaria y su transferencia al concesionario.</w:t>
      </w:r>
    </w:p>
    <w:p w14:paraId="6A8723A7" w14:textId="53F1033E" w:rsidR="00B313C1" w:rsidRPr="00486573" w:rsidRDefault="00B313C1">
      <w:pPr>
        <w:keepLines/>
        <w:rPr>
          <w:lang w:val="es-PE"/>
        </w:rPr>
      </w:pPr>
      <w:r>
        <w:rPr>
          <w:lang w:val="es-PE"/>
        </w:rPr>
        <w:t>En cambio, la coordinación entre el Estado y las concesionarias sí tiene historia. En 2023, dentro del plan Con Punche Perú, el ministerio suscribió convenios con las cinco concesionarias y transfirió S/ 491 millones al Fondo de Inclusión Social Energético para construir más de mil kilómetros de redes y conectar a decenas de miles de hogares. A fines de 2024, firmó con la concesionaria de Lima un convenio por S/ 12 millones para tender 34 kilómetros de red en cinco distritos. Todos esos acuerdos se financiaron con recursos de ese fondo o de la propia concesionaria. El canon, pese a estar habilitado desde 2012, no ha financiado ninguno. Esa es la oportunidad: los convenios ya son una práctica probada y los recursos regionales están disponibles. Lo que falta es un convenio marco tipo –preaprobado, con metas de conexiones, aportes y cronograma de permisos– que una autoridad entrante pueda suscribir desde el primero de enero de 2027 sin tener que negociar desde cero.</w:t>
      </w:r>
    </w:p>
    <w:p w14:paraId="1E367AD7" w14:textId="77777777" w:rsidR="00B313C1" w:rsidRPr="00486573" w:rsidRDefault="00B313C1">
      <w:pPr>
        <w:keepNext/>
        <w:keepLines/>
        <w:spacing w:before="280" w:after="120"/>
        <w:rPr>
          <w:lang w:val="es-PE"/>
        </w:rPr>
      </w:pPr>
      <w:r w:rsidRPr="00486573">
        <w:rPr>
          <w:b/>
          <w:color w:val="1F3864"/>
          <w:sz w:val="24"/>
          <w:lang w:val="es-PE"/>
        </w:rPr>
        <w:t>La agenda del nuevo ciclo: una meta enunciada y una hoja de ruta en construcción</w:t>
      </w:r>
    </w:p>
    <w:p w14:paraId="3EC6BE6C" w14:textId="401D90A8" w:rsidR="00FC0956" w:rsidRDefault="00B313C1" w:rsidP="004F3DB7">
      <w:pPr>
        <w:keepLines/>
        <w:rPr>
          <w:lang w:val="es-PE"/>
        </w:rPr>
      </w:pPr>
      <w:r w:rsidRPr="00486573">
        <w:rPr>
          <w:lang w:val="es-PE"/>
        </w:rPr>
        <w:t>El programa energético del Gobierno que inicia este ciclo tiene una meta cuantificada que toca directamente al gas natural: reducir la dependencia de derivados importados del 75 % al 50 % hacia 2031. Como referencia, el mismo programa señala el rezago de las energías renovables no convencionales, que representan el 6 % de la matriz frente a un promedio regional cercano al 20 %. En lo sectorial, el gas natural aparece descrito como alternativa estratégica y la masificación como prioridad, con énfasis en el transporte público. La meta, entonces, está enunciada y es clara. Lo que todavía está en construcción son los mecanismos y la hoja de ruta: qué norma habilita cada paso, en qué orden y con qué calendario.</w:t>
      </w:r>
    </w:p>
    <w:p w14:paraId="1CFA659F" w14:textId="357CF0CD" w:rsidR="00B313C1" w:rsidRPr="00486573" w:rsidRDefault="00B313C1">
      <w:pPr>
        <w:keepLines/>
        <w:rPr>
          <w:lang w:val="es-PE"/>
        </w:rPr>
      </w:pPr>
      <w:r w:rsidRPr="00486573">
        <w:rPr>
          <w:lang w:val="es-PE"/>
        </w:rPr>
        <w:t>La aritmética de la meta acota las opciones. Reducir veinticinco puntos de dependencia de derivados importados en cinco años admite solo tres rutas. La primera es producir más hidrocarburos localmente, pero en 2025 la inversión en exploración fue de US$ 10 millones, no se perforó un solo pozo exploratorio y en el Perú el tránsito del levantamiento sísmico al pozo toma entre diez y quince años, de modo que cualquier descubrimiento decidido hoy produciría después de 2031. La segunda es refinar aquí crudo importado, lo que mejora la balanza de refino</w:t>
      </w:r>
      <w:r>
        <w:rPr>
          <w:lang w:val="es-PE"/>
        </w:rPr>
        <w:t>,</w:t>
      </w:r>
      <w:r w:rsidRPr="00486573">
        <w:rPr>
          <w:lang w:val="es-PE"/>
        </w:rPr>
        <w:t xml:space="preserve"> pero no reduce la dependencia del exterior. Queda la tercera: sustituir demanda de derivados importados por gas natural producido en el país. La masificación </w:t>
      </w:r>
      <w:r>
        <w:rPr>
          <w:lang w:val="es-PE"/>
        </w:rPr>
        <w:t>–</w:t>
      </w:r>
      <w:r w:rsidRPr="00486573">
        <w:rPr>
          <w:lang w:val="es-PE"/>
        </w:rPr>
        <w:t>incluida la conversión del transporte, que el propio programa menciona</w:t>
      </w:r>
      <w:r>
        <w:rPr>
          <w:lang w:val="es-PE"/>
        </w:rPr>
        <w:t>–</w:t>
      </w:r>
      <w:r w:rsidRPr="00486573">
        <w:rPr>
          <w:lang w:val="es-PE"/>
        </w:rPr>
        <w:t xml:space="preserve"> no es un objetivo adicional a la meta de dependencia energética, sino la vía de oferta que puede moverla dentro del periodo de gobierno.</w:t>
      </w:r>
    </w:p>
    <w:p w14:paraId="4D194619" w14:textId="4E3217A8" w:rsidR="00B313C1" w:rsidRPr="00486573" w:rsidRDefault="00B313C1">
      <w:pPr>
        <w:keepLines/>
        <w:rPr>
          <w:lang w:val="es-PE"/>
        </w:rPr>
      </w:pPr>
      <w:r w:rsidRPr="00486573">
        <w:rPr>
          <w:lang w:val="es-PE"/>
        </w:rPr>
        <w:lastRenderedPageBreak/>
        <w:t>El primer paso de esa hoja de ruta ya está dado. El 28 de agosto de 2026</w:t>
      </w:r>
      <w:r>
        <w:rPr>
          <w:lang w:val="es-PE"/>
        </w:rPr>
        <w:t>,</w:t>
      </w:r>
      <w:r w:rsidRPr="00486573">
        <w:rPr>
          <w:lang w:val="es-PE"/>
        </w:rPr>
        <w:t xml:space="preserve"> el Ejecutivo remitió al Congreso un proyecto de ley que le delega la facultad de legislar por </w:t>
      </w:r>
      <w:r>
        <w:rPr>
          <w:lang w:val="es-PE"/>
        </w:rPr>
        <w:t xml:space="preserve">120 </w:t>
      </w:r>
      <w:r w:rsidRPr="00486573">
        <w:rPr>
          <w:lang w:val="es-PE"/>
        </w:rPr>
        <w:t xml:space="preserve">días en un conjunto amplio de materias, varias de ellas directamente pertinentes para lo que este capítulo describe. Pide facultades para promover la inversión privada en exploración, explotación y almacenamiento de hidrocarburos, optimizar los mecanismos contractuales y simplificar los procedimientos administrativos de su cadena de valor, incluida la petroquímica. También para actualizar la Ley de Concesiones Eléctricas y la ley que asegura el desarrollo eficiente de la generación eléctrica, con medidas centradas en la continuidad del suministro ante fenómenos climáticos extremos, el despacho de electricidad en emergencias, la generación distribuida </w:t>
      </w:r>
      <w:r>
        <w:rPr>
          <w:lang w:val="es-PE"/>
        </w:rPr>
        <w:t>–</w:t>
      </w:r>
      <w:r w:rsidRPr="00486573">
        <w:rPr>
          <w:lang w:val="es-PE"/>
        </w:rPr>
        <w:t>la que produce el propio usuario cerca de donde consume, como la cogeneración a gas natural en una planta industrial</w:t>
      </w:r>
      <w:r>
        <w:rPr>
          <w:lang w:val="es-PE"/>
        </w:rPr>
        <w:t>–</w:t>
      </w:r>
      <w:r w:rsidRPr="00486573">
        <w:rPr>
          <w:lang w:val="es-PE"/>
        </w:rPr>
        <w:t xml:space="preserve"> y el acceso universal en zonas rurales y aisladas.</w:t>
      </w:r>
    </w:p>
    <w:p w14:paraId="400EA99A" w14:textId="28FA599D" w:rsidR="00B313C1" w:rsidRPr="00486573" w:rsidRDefault="00B313C1">
      <w:pPr>
        <w:keepLines/>
        <w:rPr>
          <w:lang w:val="es-PE"/>
        </w:rPr>
      </w:pPr>
      <w:r w:rsidRPr="00486573">
        <w:rPr>
          <w:lang w:val="es-PE"/>
        </w:rPr>
        <w:t>La solicitud incluye</w:t>
      </w:r>
      <w:r>
        <w:rPr>
          <w:lang w:val="es-PE"/>
        </w:rPr>
        <w:t>,</w:t>
      </w:r>
      <w:r w:rsidRPr="00486573">
        <w:rPr>
          <w:lang w:val="es-PE"/>
        </w:rPr>
        <w:t xml:space="preserve"> además</w:t>
      </w:r>
      <w:r>
        <w:rPr>
          <w:lang w:val="es-PE"/>
        </w:rPr>
        <w:t>,</w:t>
      </w:r>
      <w:r w:rsidRPr="00486573">
        <w:rPr>
          <w:lang w:val="es-PE"/>
        </w:rPr>
        <w:t xml:space="preserve"> materias transversales: simplificar la evaluación ambiental, precisar el régimen del silencio administrativo, habilitar la aprobación automática y el silencio positivo en los permisos de proyectos del Plan Nacional de Infraestructura, y fortalecer la gobernanza del Consejo Directivo de ProInversión. Es el vehículo por el cual varias de las decisiones pendientes podrían resolverse dentro de un plazo acotado, aunque la solicitud no precisa el orden de prelación ni el calendario con que esas materias se ejercerían. Y su aprobación no está asegurada. El 8 de setiembre de 2026</w:t>
      </w:r>
      <w:r>
        <w:rPr>
          <w:lang w:val="es-PE"/>
        </w:rPr>
        <w:t>,</w:t>
      </w:r>
      <w:r w:rsidRPr="00486573">
        <w:rPr>
          <w:lang w:val="es-PE"/>
        </w:rPr>
        <w:t xml:space="preserve"> la Comisión de Energía y Minas aprobó, por once votos contra ocho, una opinión consultiva que concluye que no es viable delegar las facultades en las materias del sector </w:t>
      </w:r>
      <w:r>
        <w:rPr>
          <w:lang w:val="es-PE"/>
        </w:rPr>
        <w:t>–</w:t>
      </w:r>
      <w:r w:rsidRPr="00486573">
        <w:rPr>
          <w:lang w:val="es-PE"/>
        </w:rPr>
        <w:t>entre ellas las de exploración, explotación y almacenamiento de hidrocarburos y las modificaciones a las leyes de concesiones eléctricas y de generación eléctrica</w:t>
      </w:r>
      <w:r>
        <w:rPr>
          <w:lang w:val="es-PE"/>
        </w:rPr>
        <w:t>–</w:t>
      </w:r>
      <w:r w:rsidRPr="00486573">
        <w:rPr>
          <w:lang w:val="es-PE"/>
        </w:rPr>
        <w:t>, por considerar que exigen un debate más amplio con participación de los actores involucrados. La opinión no es vinculante y la decisión corresponde a la Comisión de Constitución, pero fija el terreno de la discusión.</w:t>
      </w:r>
    </w:p>
    <w:p w14:paraId="5DA315E8" w14:textId="77777777" w:rsidR="00B313C1" w:rsidRPr="00486573" w:rsidRDefault="00B313C1">
      <w:pPr>
        <w:keepLines/>
        <w:rPr>
          <w:lang w:val="es-PE"/>
        </w:rPr>
      </w:pPr>
      <w:r w:rsidRPr="00486573">
        <w:rPr>
          <w:lang w:val="es-PE"/>
        </w:rPr>
        <w:t>El resto de la agenda ya está identificado: el siguiente cuadro recoge las decisiones pendientes, instrumento por instrumento.</w:t>
      </w:r>
    </w:p>
    <w:p w14:paraId="548C438A" w14:textId="77777777" w:rsidR="00B313C1" w:rsidRPr="00486573" w:rsidRDefault="00B313C1">
      <w:pPr>
        <w:keepNext/>
        <w:keepLines/>
        <w:spacing w:before="200" w:after="0"/>
        <w:jc w:val="center"/>
        <w:rPr>
          <w:lang w:val="es-PE"/>
        </w:rPr>
      </w:pPr>
      <w:r w:rsidRPr="00486573">
        <w:rPr>
          <w:b/>
          <w:color w:val="15607F"/>
          <w:sz w:val="22"/>
          <w:lang w:val="es-PE"/>
        </w:rPr>
        <w:lastRenderedPageBreak/>
        <w:t>LA AGENDA DE DECISIONES DEL SECTOR</w:t>
      </w:r>
    </w:p>
    <w:tbl>
      <w:tblPr>
        <w:tblStyle w:val="Tablaconcuadrcula"/>
        <w:tblW w:w="0" w:type="auto"/>
        <w:tblLayout w:type="fixed"/>
        <w:tblLook w:val="04A0" w:firstRow="1" w:lastRow="0" w:firstColumn="1" w:lastColumn="0" w:noHBand="0" w:noVBand="1"/>
      </w:tblPr>
      <w:tblGrid>
        <w:gridCol w:w="3402"/>
        <w:gridCol w:w="2948"/>
        <w:gridCol w:w="2154"/>
        <w:gridCol w:w="113"/>
      </w:tblGrid>
      <w:tr w:rsidR="00855697" w14:paraId="17309430" w14:textId="77777777" w:rsidTr="6A75BC5D">
        <w:trPr>
          <w:gridAfter w:val="1"/>
          <w:wAfter w:w="113" w:type="dxa"/>
          <w:cantSplit/>
          <w:tblHeader/>
        </w:trPr>
        <w:tc>
          <w:tcPr>
            <w:tcW w:w="3402" w:type="dxa"/>
            <w:shd w:val="clear" w:color="auto" w:fill="15607F"/>
          </w:tcPr>
          <w:p w14:paraId="5FE766C3" w14:textId="77777777" w:rsidR="00B313C1" w:rsidRDefault="00B313C1">
            <w:pPr>
              <w:keepNext/>
              <w:jc w:val="center"/>
            </w:pPr>
            <w:r>
              <w:rPr>
                <w:b/>
                <w:color w:val="FFFFFF"/>
                <w:sz w:val="17"/>
              </w:rPr>
              <w:t>Instrumento o decisión</w:t>
            </w:r>
          </w:p>
        </w:tc>
        <w:tc>
          <w:tcPr>
            <w:tcW w:w="2948" w:type="dxa"/>
            <w:shd w:val="clear" w:color="auto" w:fill="15607F"/>
          </w:tcPr>
          <w:p w14:paraId="4B5E2B2B" w14:textId="77777777" w:rsidR="00B313C1" w:rsidRDefault="00B313C1">
            <w:pPr>
              <w:keepNext/>
              <w:jc w:val="center"/>
            </w:pPr>
            <w:r>
              <w:rPr>
                <w:b/>
                <w:color w:val="FFFFFF"/>
                <w:sz w:val="17"/>
              </w:rPr>
              <w:t>Estado</w:t>
            </w:r>
          </w:p>
        </w:tc>
        <w:tc>
          <w:tcPr>
            <w:tcW w:w="2154" w:type="dxa"/>
            <w:shd w:val="clear" w:color="auto" w:fill="15607F"/>
          </w:tcPr>
          <w:p w14:paraId="76AAF2C6" w14:textId="77777777" w:rsidR="00B313C1" w:rsidRDefault="00B313C1">
            <w:pPr>
              <w:keepNext/>
              <w:jc w:val="center"/>
            </w:pPr>
            <w:r>
              <w:rPr>
                <w:b/>
                <w:color w:val="FFFFFF"/>
                <w:sz w:val="17"/>
              </w:rPr>
              <w:t>Responsable</w:t>
            </w:r>
          </w:p>
        </w:tc>
      </w:tr>
      <w:tr w:rsidR="00855697" w:rsidRPr="001D477C" w14:paraId="7E5BE7FB" w14:textId="77777777" w:rsidTr="6A75BC5D">
        <w:trPr>
          <w:gridAfter w:val="1"/>
          <w:wAfter w:w="113" w:type="dxa"/>
          <w:cantSplit/>
        </w:trPr>
        <w:tc>
          <w:tcPr>
            <w:tcW w:w="3402" w:type="dxa"/>
          </w:tcPr>
          <w:p w14:paraId="704844EA" w14:textId="77777777" w:rsidR="00B313C1" w:rsidRPr="00486573" w:rsidRDefault="00B313C1">
            <w:pPr>
              <w:keepNext/>
              <w:jc w:val="left"/>
              <w:rPr>
                <w:lang w:val="es-PE"/>
              </w:rPr>
            </w:pPr>
            <w:r w:rsidRPr="00486573">
              <w:rPr>
                <w:sz w:val="17"/>
                <w:lang w:val="es-PE"/>
              </w:rPr>
              <w:t>Novena adenda de la concesión de Lima y Callao</w:t>
            </w:r>
          </w:p>
        </w:tc>
        <w:tc>
          <w:tcPr>
            <w:tcW w:w="2948" w:type="dxa"/>
          </w:tcPr>
          <w:p w14:paraId="1F88BE78" w14:textId="77777777" w:rsidR="00B313C1" w:rsidRPr="00486573" w:rsidRDefault="00B313C1">
            <w:pPr>
              <w:keepNext/>
              <w:jc w:val="center"/>
              <w:rPr>
                <w:lang w:val="es-PE"/>
              </w:rPr>
            </w:pPr>
            <w:r>
              <w:rPr>
                <w:sz w:val="17"/>
                <w:lang w:val="es-PE"/>
              </w:rPr>
              <w:t>Expediente en el MEF desde fines de setiembre de 2026; firma prevista para octubre</w:t>
            </w:r>
          </w:p>
        </w:tc>
        <w:tc>
          <w:tcPr>
            <w:tcW w:w="2154" w:type="dxa"/>
          </w:tcPr>
          <w:p w14:paraId="5BFFC600" w14:textId="77777777" w:rsidR="00B313C1" w:rsidRPr="00486573" w:rsidRDefault="00B313C1">
            <w:pPr>
              <w:keepNext/>
              <w:jc w:val="center"/>
              <w:rPr>
                <w:lang w:val="es-PE"/>
              </w:rPr>
            </w:pPr>
            <w:r w:rsidRPr="00486573">
              <w:rPr>
                <w:sz w:val="17"/>
                <w:lang w:val="es-PE"/>
              </w:rPr>
              <w:t>Ministerio, MEF, regulador y ProInversión</w:t>
            </w:r>
          </w:p>
        </w:tc>
      </w:tr>
      <w:tr w:rsidR="00855697" w14:paraId="4ED9496A" w14:textId="77777777" w:rsidTr="6A75BC5D">
        <w:trPr>
          <w:gridAfter w:val="1"/>
          <w:wAfter w:w="113" w:type="dxa"/>
          <w:cantSplit/>
        </w:trPr>
        <w:tc>
          <w:tcPr>
            <w:tcW w:w="3402" w:type="dxa"/>
          </w:tcPr>
          <w:p w14:paraId="26DF7D4C" w14:textId="412FCEFC" w:rsidR="00B313C1" w:rsidRPr="00486573" w:rsidRDefault="00B313C1">
            <w:pPr>
              <w:keepNext/>
              <w:jc w:val="left"/>
              <w:rPr>
                <w:lang w:val="es-PE"/>
              </w:rPr>
            </w:pPr>
            <w:r w:rsidRPr="00486573">
              <w:rPr>
                <w:sz w:val="17"/>
                <w:lang w:val="es-PE"/>
              </w:rPr>
              <w:t xml:space="preserve">Adenda de extensión sur del </w:t>
            </w:r>
            <w:r>
              <w:rPr>
                <w:sz w:val="17"/>
                <w:lang w:val="es-PE"/>
              </w:rPr>
              <w:t>S</w:t>
            </w:r>
            <w:r w:rsidRPr="00486573">
              <w:rPr>
                <w:sz w:val="17"/>
                <w:lang w:val="es-PE"/>
              </w:rPr>
              <w:t xml:space="preserve">istema de </w:t>
            </w:r>
            <w:r>
              <w:rPr>
                <w:sz w:val="17"/>
                <w:lang w:val="es-PE"/>
              </w:rPr>
              <w:t>T</w:t>
            </w:r>
            <w:r w:rsidRPr="00486573">
              <w:rPr>
                <w:sz w:val="17"/>
                <w:lang w:val="es-PE"/>
              </w:rPr>
              <w:t>ransporte</w:t>
            </w:r>
          </w:p>
        </w:tc>
        <w:tc>
          <w:tcPr>
            <w:tcW w:w="2948" w:type="dxa"/>
          </w:tcPr>
          <w:p w14:paraId="66D6A2DA" w14:textId="77777777" w:rsidR="00B313C1" w:rsidRPr="00B4606A" w:rsidRDefault="00B313C1">
            <w:pPr>
              <w:keepNext/>
              <w:jc w:val="center"/>
              <w:rPr>
                <w:lang w:val="es-PE"/>
              </w:rPr>
            </w:pPr>
            <w:r w:rsidRPr="00B4606A">
              <w:rPr>
                <w:sz w:val="17"/>
                <w:lang w:val="es-PE"/>
              </w:rPr>
              <w:t>Postergada, sin nueva fecha. Nueva propuesta presentada por TGP en setiembre de 2026, en evaluación</w:t>
            </w:r>
          </w:p>
        </w:tc>
        <w:tc>
          <w:tcPr>
            <w:tcW w:w="2154" w:type="dxa"/>
          </w:tcPr>
          <w:p w14:paraId="533261A8" w14:textId="77777777" w:rsidR="00B313C1" w:rsidRDefault="00B313C1">
            <w:pPr>
              <w:keepNext/>
              <w:jc w:val="center"/>
            </w:pPr>
            <w:r w:rsidDel="005A382D">
              <w:rPr>
                <w:sz w:val="17"/>
              </w:rPr>
              <w:t>M</w:t>
            </w:r>
            <w:r>
              <w:rPr>
                <w:sz w:val="17"/>
              </w:rPr>
              <w:t>inisterio</w:t>
            </w:r>
            <w:r w:rsidDel="005A382D">
              <w:rPr>
                <w:sz w:val="17"/>
              </w:rPr>
              <w:t xml:space="preserve"> y ProInversión</w:t>
            </w:r>
          </w:p>
        </w:tc>
      </w:tr>
      <w:tr w:rsidR="00855697" w14:paraId="762E7559" w14:textId="77777777" w:rsidTr="6A75BC5D">
        <w:trPr>
          <w:gridAfter w:val="1"/>
          <w:wAfter w:w="113" w:type="dxa"/>
          <w:cantSplit/>
        </w:trPr>
        <w:tc>
          <w:tcPr>
            <w:tcW w:w="3402" w:type="dxa"/>
          </w:tcPr>
          <w:p w14:paraId="54A94D55" w14:textId="77777777" w:rsidR="00B313C1" w:rsidRPr="00486573" w:rsidRDefault="00B313C1">
            <w:pPr>
              <w:keepNext/>
              <w:jc w:val="left"/>
              <w:rPr>
                <w:lang w:val="es-PE"/>
              </w:rPr>
            </w:pPr>
            <w:r w:rsidRPr="00486573">
              <w:rPr>
                <w:sz w:val="17"/>
                <w:lang w:val="es-PE"/>
              </w:rPr>
              <w:t>Gasoducto regional del Cusco</w:t>
            </w:r>
          </w:p>
        </w:tc>
        <w:tc>
          <w:tcPr>
            <w:tcW w:w="2948" w:type="dxa"/>
          </w:tcPr>
          <w:p w14:paraId="7E08A91D" w14:textId="77777777" w:rsidR="00B313C1" w:rsidRPr="00583F67" w:rsidRDefault="00B313C1">
            <w:pPr>
              <w:keepNext/>
              <w:jc w:val="center"/>
              <w:rPr>
                <w:lang w:val="es-PE"/>
              </w:rPr>
            </w:pPr>
            <w:r w:rsidRPr="00583F67">
              <w:rPr>
                <w:sz w:val="17"/>
                <w:lang w:val="es-PE"/>
              </w:rPr>
              <w:t>En estudios, por encargo a ProInversión; sin fecha de convocatoria</w:t>
            </w:r>
          </w:p>
        </w:tc>
        <w:tc>
          <w:tcPr>
            <w:tcW w:w="2154" w:type="dxa"/>
          </w:tcPr>
          <w:p w14:paraId="2D4CCBAD" w14:textId="77777777" w:rsidR="00B313C1" w:rsidRDefault="00B313C1">
            <w:pPr>
              <w:keepNext/>
              <w:jc w:val="center"/>
            </w:pPr>
            <w:r>
              <w:rPr>
                <w:sz w:val="17"/>
              </w:rPr>
              <w:t>ProInversión y ministerio</w:t>
            </w:r>
          </w:p>
        </w:tc>
      </w:tr>
      <w:tr w:rsidR="00855697" w14:paraId="27E1BD90" w14:textId="77777777" w:rsidTr="6A75BC5D">
        <w:trPr>
          <w:gridAfter w:val="1"/>
          <w:wAfter w:w="113" w:type="dxa"/>
          <w:cantSplit/>
        </w:trPr>
        <w:tc>
          <w:tcPr>
            <w:tcW w:w="3402" w:type="dxa"/>
          </w:tcPr>
          <w:p w14:paraId="00E24A1E" w14:textId="77777777" w:rsidR="00B313C1" w:rsidRPr="00486573" w:rsidRDefault="00B313C1">
            <w:pPr>
              <w:keepNext/>
              <w:jc w:val="left"/>
              <w:rPr>
                <w:lang w:val="es-PE"/>
              </w:rPr>
            </w:pPr>
            <w:r w:rsidRPr="00486573">
              <w:rPr>
                <w:sz w:val="17"/>
                <w:lang w:val="es-PE"/>
              </w:rPr>
              <w:t>Concurso de distribución para Arequipa, Moquegua y Tacna</w:t>
            </w:r>
          </w:p>
        </w:tc>
        <w:tc>
          <w:tcPr>
            <w:tcW w:w="2948" w:type="dxa"/>
          </w:tcPr>
          <w:p w14:paraId="044215E0" w14:textId="6224660C" w:rsidR="00B313C1" w:rsidRPr="00486573" w:rsidRDefault="00B313C1">
            <w:pPr>
              <w:keepNext/>
              <w:jc w:val="center"/>
              <w:rPr>
                <w:lang w:val="es-PE"/>
              </w:rPr>
            </w:pPr>
            <w:r w:rsidRPr="00486573">
              <w:rPr>
                <w:sz w:val="17"/>
                <w:lang w:val="es-PE"/>
              </w:rPr>
              <w:t xml:space="preserve">Plan de promoción aprobado; adjudicación estimada para el </w:t>
            </w:r>
            <w:r>
              <w:rPr>
                <w:sz w:val="17"/>
                <w:lang w:val="es-PE"/>
              </w:rPr>
              <w:t xml:space="preserve">tercer </w:t>
            </w:r>
            <w:r w:rsidRPr="00486573">
              <w:rPr>
                <w:sz w:val="17"/>
                <w:lang w:val="es-PE"/>
              </w:rPr>
              <w:t>trimestre de 2028</w:t>
            </w:r>
          </w:p>
        </w:tc>
        <w:tc>
          <w:tcPr>
            <w:tcW w:w="2154" w:type="dxa"/>
          </w:tcPr>
          <w:p w14:paraId="764DF5F5" w14:textId="77777777" w:rsidR="00B313C1" w:rsidRDefault="00B313C1">
            <w:pPr>
              <w:keepNext/>
              <w:jc w:val="center"/>
            </w:pPr>
            <w:r>
              <w:rPr>
                <w:sz w:val="17"/>
              </w:rPr>
              <w:t>ProInversión y ministerio</w:t>
            </w:r>
          </w:p>
        </w:tc>
      </w:tr>
      <w:tr w:rsidR="00855697" w:rsidRPr="001D477C" w14:paraId="4FAF47A8" w14:textId="77777777" w:rsidTr="6A75BC5D">
        <w:trPr>
          <w:gridAfter w:val="1"/>
          <w:wAfter w:w="113" w:type="dxa"/>
          <w:cantSplit/>
        </w:trPr>
        <w:tc>
          <w:tcPr>
            <w:tcW w:w="3402" w:type="dxa"/>
          </w:tcPr>
          <w:p w14:paraId="1A31F3CA" w14:textId="77777777" w:rsidR="00B313C1" w:rsidRPr="00486573" w:rsidRDefault="00B313C1">
            <w:pPr>
              <w:keepNext/>
              <w:jc w:val="left"/>
              <w:rPr>
                <w:lang w:val="es-PE"/>
              </w:rPr>
            </w:pPr>
            <w:r w:rsidRPr="00486573">
              <w:rPr>
                <w:sz w:val="17"/>
                <w:lang w:val="es-PE"/>
              </w:rPr>
              <w:t>Nuevo reglamento de exploración y explotación</w:t>
            </w:r>
          </w:p>
        </w:tc>
        <w:tc>
          <w:tcPr>
            <w:tcW w:w="2948" w:type="dxa"/>
          </w:tcPr>
          <w:p w14:paraId="096241E3" w14:textId="77777777" w:rsidR="00B313C1" w:rsidRDefault="00B313C1">
            <w:pPr>
              <w:keepNext/>
              <w:jc w:val="center"/>
            </w:pPr>
            <w:r>
              <w:rPr>
                <w:sz w:val="17"/>
              </w:rPr>
              <w:t>Prepublicado en junio de 2026</w:t>
            </w:r>
          </w:p>
        </w:tc>
        <w:tc>
          <w:tcPr>
            <w:tcW w:w="2154" w:type="dxa"/>
          </w:tcPr>
          <w:p w14:paraId="1986491B" w14:textId="77777777" w:rsidR="00B313C1" w:rsidRPr="00486573" w:rsidRDefault="00B313C1">
            <w:pPr>
              <w:keepNext/>
              <w:jc w:val="center"/>
              <w:rPr>
                <w:lang w:val="es-PE"/>
              </w:rPr>
            </w:pPr>
            <w:r w:rsidRPr="00486573">
              <w:rPr>
                <w:sz w:val="17"/>
                <w:lang w:val="es-PE"/>
              </w:rPr>
              <w:t>Ministerio de Energía y Minas</w:t>
            </w:r>
          </w:p>
        </w:tc>
      </w:tr>
      <w:tr w:rsidR="00855697" w14:paraId="62CA48E6" w14:textId="77777777" w:rsidTr="6A75BC5D">
        <w:trPr>
          <w:gridAfter w:val="1"/>
          <w:wAfter w:w="113" w:type="dxa"/>
          <w:cantSplit/>
        </w:trPr>
        <w:tc>
          <w:tcPr>
            <w:tcW w:w="3402" w:type="dxa"/>
          </w:tcPr>
          <w:p w14:paraId="125CD060" w14:textId="77777777" w:rsidR="00B313C1" w:rsidRPr="00486573" w:rsidRDefault="00B313C1">
            <w:pPr>
              <w:keepNext/>
              <w:jc w:val="left"/>
              <w:rPr>
                <w:lang w:val="es-PE"/>
              </w:rPr>
            </w:pPr>
            <w:r w:rsidRPr="00486573">
              <w:rPr>
                <w:sz w:val="17"/>
                <w:lang w:val="es-PE"/>
              </w:rPr>
              <w:t>Mecanismo de simplificación de la evaluación ambiental</w:t>
            </w:r>
          </w:p>
        </w:tc>
        <w:tc>
          <w:tcPr>
            <w:tcW w:w="2948" w:type="dxa"/>
          </w:tcPr>
          <w:p w14:paraId="0DB2AC46" w14:textId="77777777" w:rsidR="00B313C1" w:rsidRPr="00486573" w:rsidRDefault="00B313C1">
            <w:pPr>
              <w:keepNext/>
              <w:jc w:val="center"/>
              <w:rPr>
                <w:lang w:val="es-PE"/>
              </w:rPr>
            </w:pPr>
            <w:r w:rsidRPr="00486573">
              <w:rPr>
                <w:sz w:val="17"/>
                <w:lang w:val="es-PE"/>
              </w:rPr>
              <w:t>Anunciado, pendiente de aprobación conjunta</w:t>
            </w:r>
          </w:p>
        </w:tc>
        <w:tc>
          <w:tcPr>
            <w:tcW w:w="2154" w:type="dxa"/>
          </w:tcPr>
          <w:p w14:paraId="1A87B227" w14:textId="77777777" w:rsidR="00B313C1" w:rsidRDefault="00B313C1">
            <w:pPr>
              <w:keepNext/>
              <w:jc w:val="center"/>
            </w:pPr>
            <w:r>
              <w:rPr>
                <w:sz w:val="17"/>
              </w:rPr>
              <w:t>Ministerio y autoridad ambiental</w:t>
            </w:r>
          </w:p>
        </w:tc>
      </w:tr>
      <w:tr w:rsidR="00855697" w14:paraId="4997B33D" w14:textId="77777777" w:rsidTr="6A75BC5D">
        <w:trPr>
          <w:gridAfter w:val="1"/>
          <w:wAfter w:w="113" w:type="dxa"/>
          <w:cantSplit/>
        </w:trPr>
        <w:tc>
          <w:tcPr>
            <w:tcW w:w="3402" w:type="dxa"/>
          </w:tcPr>
          <w:p w14:paraId="055B8B61" w14:textId="77777777" w:rsidR="00B313C1" w:rsidRPr="00486573" w:rsidRDefault="00B313C1">
            <w:pPr>
              <w:keepNext/>
              <w:jc w:val="left"/>
              <w:rPr>
                <w:lang w:val="es-PE"/>
              </w:rPr>
            </w:pPr>
            <w:r w:rsidRPr="00486573">
              <w:rPr>
                <w:sz w:val="17"/>
                <w:lang w:val="es-PE"/>
              </w:rPr>
              <w:t>Régimen contractual del principal lote de gas natural después de 2040</w:t>
            </w:r>
          </w:p>
        </w:tc>
        <w:tc>
          <w:tcPr>
            <w:tcW w:w="2948" w:type="dxa"/>
          </w:tcPr>
          <w:p w14:paraId="23FECA54" w14:textId="77777777" w:rsidR="00B313C1" w:rsidRPr="00486573" w:rsidRDefault="00B313C1">
            <w:pPr>
              <w:keepNext/>
              <w:jc w:val="center"/>
              <w:rPr>
                <w:lang w:val="es-PE"/>
              </w:rPr>
            </w:pPr>
            <w:r w:rsidRPr="00486573">
              <w:rPr>
                <w:sz w:val="17"/>
                <w:lang w:val="es-PE"/>
              </w:rPr>
              <w:t>Sin hoja de ruta pública</w:t>
            </w:r>
          </w:p>
        </w:tc>
        <w:tc>
          <w:tcPr>
            <w:tcW w:w="2154" w:type="dxa"/>
          </w:tcPr>
          <w:p w14:paraId="00A4B3F0" w14:textId="77777777" w:rsidR="00B313C1" w:rsidRDefault="00B313C1">
            <w:pPr>
              <w:keepNext/>
              <w:jc w:val="center"/>
            </w:pPr>
            <w:r>
              <w:rPr>
                <w:sz w:val="17"/>
              </w:rPr>
              <w:t>Ministerio y Perupetro</w:t>
            </w:r>
          </w:p>
        </w:tc>
      </w:tr>
      <w:tr w:rsidR="00855697" w14:paraId="2B2EB482" w14:textId="77777777" w:rsidTr="6A75BC5D">
        <w:trPr>
          <w:gridAfter w:val="1"/>
          <w:wAfter w:w="113" w:type="dxa"/>
          <w:cantSplit/>
        </w:trPr>
        <w:tc>
          <w:tcPr>
            <w:tcW w:w="3402" w:type="dxa"/>
          </w:tcPr>
          <w:p w14:paraId="5BC3F5B7" w14:textId="77777777" w:rsidR="00B313C1" w:rsidRPr="00486573" w:rsidRDefault="00B313C1">
            <w:pPr>
              <w:keepNext/>
              <w:jc w:val="left"/>
              <w:rPr>
                <w:lang w:val="es-PE"/>
              </w:rPr>
            </w:pPr>
            <w:r w:rsidRPr="00486573">
              <w:rPr>
                <w:sz w:val="17"/>
                <w:lang w:val="es-PE"/>
              </w:rPr>
              <w:t>Estándar de almacenamiento de gas natural y planta de regasificación</w:t>
            </w:r>
          </w:p>
        </w:tc>
        <w:tc>
          <w:tcPr>
            <w:tcW w:w="2948" w:type="dxa"/>
          </w:tcPr>
          <w:p w14:paraId="07B64886" w14:textId="77777777" w:rsidR="00B313C1" w:rsidRPr="003E0D14" w:rsidRDefault="00B313C1">
            <w:pPr>
              <w:keepNext/>
              <w:jc w:val="center"/>
              <w:rPr>
                <w:lang w:val="es-PE"/>
              </w:rPr>
            </w:pPr>
            <w:r w:rsidRPr="003E0D14">
              <w:rPr>
                <w:sz w:val="17"/>
                <w:lang w:val="es-PE"/>
              </w:rPr>
              <w:t>Sin estándar vigente; la planta anunciada sigue sin estudios ni convocatoria</w:t>
            </w:r>
          </w:p>
        </w:tc>
        <w:tc>
          <w:tcPr>
            <w:tcW w:w="2154" w:type="dxa"/>
          </w:tcPr>
          <w:p w14:paraId="7708E463" w14:textId="77777777" w:rsidR="00B313C1" w:rsidRDefault="00B313C1">
            <w:pPr>
              <w:keepNext/>
              <w:jc w:val="center"/>
            </w:pPr>
            <w:r>
              <w:rPr>
                <w:sz w:val="17"/>
              </w:rPr>
              <w:t>Ministerio, ProInversión y regulador</w:t>
            </w:r>
          </w:p>
        </w:tc>
      </w:tr>
      <w:tr w:rsidR="00855697" w14:paraId="20C4F201" w14:textId="77777777" w:rsidTr="6A75BC5D">
        <w:trPr>
          <w:gridAfter w:val="1"/>
          <w:wAfter w:w="113" w:type="dxa"/>
          <w:cantSplit/>
        </w:trPr>
        <w:tc>
          <w:tcPr>
            <w:tcW w:w="3402" w:type="dxa"/>
          </w:tcPr>
          <w:p w14:paraId="39CFB386" w14:textId="77777777" w:rsidR="00B313C1" w:rsidRPr="00486573" w:rsidRDefault="00B313C1">
            <w:pPr>
              <w:keepNext/>
              <w:jc w:val="left"/>
              <w:rPr>
                <w:lang w:val="es-PE"/>
              </w:rPr>
            </w:pPr>
            <w:r w:rsidRPr="00486573">
              <w:rPr>
                <w:sz w:val="17"/>
                <w:lang w:val="es-PE"/>
              </w:rPr>
              <w:t>Reglamento de la ley de aprobación automática de obras de servicios públicos</w:t>
            </w:r>
          </w:p>
        </w:tc>
        <w:tc>
          <w:tcPr>
            <w:tcW w:w="2948" w:type="dxa"/>
          </w:tcPr>
          <w:p w14:paraId="7026DC6A" w14:textId="77777777" w:rsidR="00B313C1" w:rsidRDefault="00B313C1">
            <w:pPr>
              <w:keepNext/>
              <w:jc w:val="center"/>
            </w:pPr>
            <w:r>
              <w:rPr>
                <w:sz w:val="17"/>
              </w:rPr>
              <w:t>Pendiente desde 2016</w:t>
            </w:r>
          </w:p>
        </w:tc>
        <w:tc>
          <w:tcPr>
            <w:tcW w:w="2154" w:type="dxa"/>
          </w:tcPr>
          <w:p w14:paraId="1DE2CC51" w14:textId="77777777" w:rsidR="00B313C1" w:rsidRDefault="00B313C1">
            <w:pPr>
              <w:keepNext/>
              <w:jc w:val="center"/>
            </w:pPr>
            <w:r>
              <w:rPr>
                <w:sz w:val="17"/>
              </w:rPr>
              <w:t>PCM, Vivienda y ministerio</w:t>
            </w:r>
          </w:p>
        </w:tc>
      </w:tr>
      <w:tr w:rsidR="00855697" w14:paraId="324C2A6A" w14:textId="77777777" w:rsidTr="6A75BC5D">
        <w:trPr>
          <w:gridAfter w:val="1"/>
          <w:wAfter w:w="113" w:type="dxa"/>
          <w:cantSplit/>
        </w:trPr>
        <w:tc>
          <w:tcPr>
            <w:tcW w:w="3402" w:type="dxa"/>
          </w:tcPr>
          <w:p w14:paraId="0D8D4A3F" w14:textId="77777777" w:rsidR="00B313C1" w:rsidRPr="00486573" w:rsidRDefault="00B313C1">
            <w:pPr>
              <w:keepNext/>
              <w:jc w:val="left"/>
              <w:rPr>
                <w:lang w:val="es-PE"/>
              </w:rPr>
            </w:pPr>
            <w:r w:rsidRPr="00486573">
              <w:rPr>
                <w:sz w:val="17"/>
                <w:lang w:val="es-PE"/>
              </w:rPr>
              <w:t>Instancia independiente de revisión de las decisiones tarifarias</w:t>
            </w:r>
          </w:p>
        </w:tc>
        <w:tc>
          <w:tcPr>
            <w:tcW w:w="2948" w:type="dxa"/>
          </w:tcPr>
          <w:p w14:paraId="00660970" w14:textId="77777777" w:rsidR="00B313C1" w:rsidRDefault="00B313C1">
            <w:pPr>
              <w:keepNext/>
              <w:jc w:val="center"/>
            </w:pPr>
            <w:r>
              <w:rPr>
                <w:sz w:val="17"/>
              </w:rPr>
              <w:t>Inexistente</w:t>
            </w:r>
          </w:p>
        </w:tc>
        <w:tc>
          <w:tcPr>
            <w:tcW w:w="2154" w:type="dxa"/>
          </w:tcPr>
          <w:p w14:paraId="6584CA27" w14:textId="77777777" w:rsidR="00B313C1" w:rsidRDefault="00B313C1">
            <w:pPr>
              <w:keepNext/>
              <w:jc w:val="center"/>
            </w:pPr>
            <w:r>
              <w:rPr>
                <w:sz w:val="17"/>
              </w:rPr>
              <w:t>Ministerio, PCM y Congreso</w:t>
            </w:r>
          </w:p>
        </w:tc>
      </w:tr>
      <w:tr w:rsidR="00855697" w:rsidRPr="001D477C" w14:paraId="34D52498" w14:textId="77777777" w:rsidTr="6A75BC5D">
        <w:trPr>
          <w:gridAfter w:val="1"/>
          <w:wAfter w:w="113" w:type="dxa"/>
          <w:cantSplit/>
        </w:trPr>
        <w:tc>
          <w:tcPr>
            <w:tcW w:w="3402" w:type="dxa"/>
          </w:tcPr>
          <w:p w14:paraId="2F03EA1E" w14:textId="268A9C11" w:rsidR="00B313C1" w:rsidRPr="00486573" w:rsidRDefault="00B313C1">
            <w:pPr>
              <w:keepNext/>
              <w:jc w:val="left"/>
              <w:rPr>
                <w:lang w:val="es-PE"/>
              </w:rPr>
            </w:pPr>
            <w:r w:rsidRPr="00486573">
              <w:rPr>
                <w:sz w:val="17"/>
                <w:lang w:val="es-PE"/>
              </w:rPr>
              <w:t xml:space="preserve">Reglas de selección del </w:t>
            </w:r>
            <w:r>
              <w:rPr>
                <w:sz w:val="17"/>
                <w:lang w:val="es-PE"/>
              </w:rPr>
              <w:t>C</w:t>
            </w:r>
            <w:r w:rsidRPr="00486573">
              <w:rPr>
                <w:sz w:val="17"/>
                <w:lang w:val="es-PE"/>
              </w:rPr>
              <w:t xml:space="preserve">onsejo </w:t>
            </w:r>
            <w:r>
              <w:rPr>
                <w:sz w:val="17"/>
                <w:lang w:val="es-PE"/>
              </w:rPr>
              <w:t>D</w:t>
            </w:r>
            <w:r w:rsidRPr="00486573">
              <w:rPr>
                <w:sz w:val="17"/>
                <w:lang w:val="es-PE"/>
              </w:rPr>
              <w:t>irectivo del regulador</w:t>
            </w:r>
          </w:p>
        </w:tc>
        <w:tc>
          <w:tcPr>
            <w:tcW w:w="2948" w:type="dxa"/>
          </w:tcPr>
          <w:p w14:paraId="443950EC" w14:textId="77777777" w:rsidR="00B313C1" w:rsidRPr="003E0D14" w:rsidRDefault="00B313C1">
            <w:pPr>
              <w:keepNext/>
              <w:jc w:val="center"/>
              <w:rPr>
                <w:lang w:val="es-PE"/>
              </w:rPr>
            </w:pPr>
            <w:r w:rsidRPr="003E0D14">
              <w:rPr>
                <w:sz w:val="17"/>
                <w:lang w:val="es-PE"/>
              </w:rPr>
              <w:t>Sin cambios; plazos y criterios modificables por decreto supremo</w:t>
            </w:r>
          </w:p>
        </w:tc>
        <w:tc>
          <w:tcPr>
            <w:tcW w:w="2154" w:type="dxa"/>
          </w:tcPr>
          <w:p w14:paraId="65E24746" w14:textId="77777777" w:rsidR="00B313C1" w:rsidRPr="00B4606A" w:rsidRDefault="00B313C1">
            <w:pPr>
              <w:keepNext/>
              <w:jc w:val="center"/>
              <w:rPr>
                <w:lang w:val="es-PE"/>
              </w:rPr>
            </w:pPr>
            <w:r w:rsidRPr="00B4606A">
              <w:rPr>
                <w:sz w:val="17"/>
                <w:lang w:val="es-PE"/>
              </w:rPr>
              <w:t>PCM (Congreso solo para el régimen de incompatibilidades)</w:t>
            </w:r>
          </w:p>
        </w:tc>
      </w:tr>
      <w:tr w:rsidR="00855697" w14:paraId="33B9208B" w14:textId="77777777" w:rsidTr="6A75BC5D">
        <w:trPr>
          <w:gridAfter w:val="1"/>
          <w:wAfter w:w="113" w:type="dxa"/>
          <w:cantSplit/>
        </w:trPr>
        <w:tc>
          <w:tcPr>
            <w:tcW w:w="3402" w:type="dxa"/>
          </w:tcPr>
          <w:p w14:paraId="6FE99EBA" w14:textId="77777777" w:rsidR="00B313C1" w:rsidRPr="00486573" w:rsidRDefault="00B313C1">
            <w:pPr>
              <w:keepNext/>
              <w:jc w:val="left"/>
              <w:rPr>
                <w:lang w:val="es-PE"/>
              </w:rPr>
            </w:pPr>
            <w:r w:rsidRPr="00486573">
              <w:rPr>
                <w:sz w:val="17"/>
                <w:lang w:val="es-PE"/>
              </w:rPr>
              <w:t>Delegación de facultades legislativas en hidrocarburos y electricidad</w:t>
            </w:r>
          </w:p>
        </w:tc>
        <w:tc>
          <w:tcPr>
            <w:tcW w:w="2948" w:type="dxa"/>
          </w:tcPr>
          <w:p w14:paraId="707B38A8" w14:textId="77777777" w:rsidR="00B313C1" w:rsidRPr="003E0D14" w:rsidRDefault="00B313C1">
            <w:pPr>
              <w:keepNext/>
              <w:jc w:val="center"/>
              <w:rPr>
                <w:lang w:val="es-PE"/>
              </w:rPr>
            </w:pPr>
            <w:r w:rsidRPr="003E0D14">
              <w:rPr>
                <w:sz w:val="17"/>
                <w:lang w:val="es-PE"/>
              </w:rPr>
              <w:t>Solicitada en agosto de 2026; la Comisión de Energía y Minas la consideró no viable el 8 de setiembre. Aún en debate: el primer dictamen, aprobado el 1 de octubre por la Comisión de Constitución de la Cámara de Diputados, la limita a seguridad ciudadana y al Fenómeno El Niño, por lo que es probable que no se aprueben las materias de hidrocarburos</w:t>
            </w:r>
          </w:p>
        </w:tc>
        <w:tc>
          <w:tcPr>
            <w:tcW w:w="2154" w:type="dxa"/>
          </w:tcPr>
          <w:p w14:paraId="4239853C" w14:textId="77777777" w:rsidR="00B313C1" w:rsidRDefault="00B313C1">
            <w:pPr>
              <w:keepNext/>
              <w:jc w:val="center"/>
            </w:pPr>
            <w:r>
              <w:rPr>
                <w:sz w:val="17"/>
              </w:rPr>
              <w:t>Congreso</w:t>
            </w:r>
          </w:p>
        </w:tc>
      </w:tr>
      <w:tr w:rsidR="0092202D" w14:paraId="6A3D0C43" w14:textId="77777777" w:rsidTr="6A75BC5D">
        <w:trPr>
          <w:cantSplit/>
        </w:trPr>
        <w:tc>
          <w:tcPr>
            <w:tcW w:w="3402" w:type="dxa"/>
          </w:tcPr>
          <w:p w14:paraId="5B7AB024" w14:textId="63FEDB7D" w:rsidR="0092202D" w:rsidRPr="00486573" w:rsidRDefault="7C49CCF6" w:rsidP="6A75BC5D">
            <w:pPr>
              <w:keepNext/>
              <w:jc w:val="left"/>
              <w:rPr>
                <w:sz w:val="17"/>
                <w:szCs w:val="17"/>
                <w:lang w:val="es-PE"/>
              </w:rPr>
            </w:pPr>
            <w:r>
              <w:rPr>
                <w:sz w:val="17"/>
                <w:szCs w:val="17"/>
                <w:lang w:val="es-PE"/>
              </w:rPr>
              <w:t>Corrección del</w:t>
            </w:r>
            <w:r w:rsidRPr="6A75BC5D">
              <w:rPr>
                <w:sz w:val="17"/>
                <w:szCs w:val="17"/>
                <w:lang w:val="es-PE"/>
              </w:rPr>
              <w:t xml:space="preserve"> al</w:t>
            </w:r>
            <w:r w:rsidR="64B1DF27" w:rsidRPr="6A75BC5D">
              <w:rPr>
                <w:sz w:val="17"/>
                <w:szCs w:val="17"/>
                <w:lang w:val="es-PE"/>
              </w:rPr>
              <w:t>c</w:t>
            </w:r>
            <w:r w:rsidRPr="6A75BC5D">
              <w:rPr>
                <w:sz w:val="17"/>
                <w:szCs w:val="17"/>
                <w:lang w:val="es-PE"/>
              </w:rPr>
              <w:t>ance de la ley de tarifa nivelada</w:t>
            </w:r>
          </w:p>
        </w:tc>
        <w:tc>
          <w:tcPr>
            <w:tcW w:w="2948" w:type="dxa"/>
          </w:tcPr>
          <w:p w14:paraId="0CC4331E" w14:textId="68822B1D" w:rsidR="0092202D" w:rsidRPr="003E0D14" w:rsidRDefault="0092202D" w:rsidP="0092202D">
            <w:pPr>
              <w:keepNext/>
              <w:jc w:val="center"/>
              <w:rPr>
                <w:sz w:val="17"/>
                <w:lang w:val="es-PE"/>
              </w:rPr>
            </w:pPr>
            <w:r w:rsidRPr="00486573">
              <w:rPr>
                <w:sz w:val="17"/>
                <w:lang w:val="es-PE"/>
              </w:rPr>
              <w:t>Pendiente; podría incluirse en las facultades legislativas, aunque el entorno político se ve complicado</w:t>
            </w:r>
          </w:p>
        </w:tc>
        <w:tc>
          <w:tcPr>
            <w:tcW w:w="2154" w:type="dxa"/>
            <w:gridSpan w:val="2"/>
          </w:tcPr>
          <w:p w14:paraId="5DE9B7CD" w14:textId="64BCD62B" w:rsidR="0092202D" w:rsidRDefault="0092202D" w:rsidP="0092202D">
            <w:pPr>
              <w:keepNext/>
              <w:jc w:val="center"/>
              <w:rPr>
                <w:sz w:val="17"/>
              </w:rPr>
            </w:pPr>
            <w:r>
              <w:rPr>
                <w:sz w:val="17"/>
                <w:lang w:val="es-PE"/>
              </w:rPr>
              <w:t>Congreso</w:t>
            </w:r>
          </w:p>
        </w:tc>
      </w:tr>
    </w:tbl>
    <w:p w14:paraId="3E84DB24" w14:textId="77777777" w:rsidR="00B313C1" w:rsidRDefault="00B313C1">
      <w:pPr>
        <w:keepNext/>
        <w:spacing w:after="0"/>
      </w:pPr>
    </w:p>
    <w:p w14:paraId="09D7D890" w14:textId="2E921071" w:rsidR="00B313C1" w:rsidRPr="00486573" w:rsidRDefault="00B313C1">
      <w:pPr>
        <w:keepNext/>
        <w:keepLines/>
        <w:spacing w:after="0"/>
        <w:rPr>
          <w:lang w:val="es-PE"/>
        </w:rPr>
      </w:pPr>
      <w:r w:rsidRPr="00486573">
        <w:rPr>
          <w:i/>
          <w:color w:val="595959"/>
          <w:sz w:val="15"/>
          <w:lang w:val="es-PE"/>
        </w:rPr>
        <w:t>El cuadro recoge únicamente instrumentos identificados en este capítulo</w:t>
      </w:r>
      <w:r>
        <w:rPr>
          <w:i/>
          <w:color w:val="595959"/>
          <w:sz w:val="15"/>
          <w:lang w:val="es-PE"/>
        </w:rPr>
        <w:t>,</w:t>
      </w:r>
      <w:r w:rsidRPr="00486573">
        <w:rPr>
          <w:i/>
          <w:color w:val="595959"/>
          <w:sz w:val="15"/>
          <w:lang w:val="es-PE"/>
        </w:rPr>
        <w:t xml:space="preserve"> cuyo estado pudo verificarse en fuentes públicas al cierre de edición.</w:t>
      </w:r>
    </w:p>
    <w:p w14:paraId="389BAFAE" w14:textId="348D97D8" w:rsidR="00B313C1" w:rsidRPr="00486573" w:rsidRDefault="00B313C1">
      <w:pPr>
        <w:keepLines/>
        <w:spacing w:after="200"/>
        <w:jc w:val="right"/>
        <w:rPr>
          <w:lang w:val="es-PE"/>
        </w:rPr>
      </w:pPr>
      <w:r w:rsidRPr="00486573">
        <w:rPr>
          <w:b/>
          <w:color w:val="404040"/>
          <w:sz w:val="15"/>
          <w:lang w:val="es-PE"/>
        </w:rPr>
        <w:t xml:space="preserve">FUENTE: </w:t>
      </w:r>
      <w:r>
        <w:rPr>
          <w:b/>
          <w:color w:val="404040"/>
          <w:sz w:val="15"/>
          <w:lang w:val="es-PE"/>
        </w:rPr>
        <w:t>N</w:t>
      </w:r>
      <w:r w:rsidRPr="00486573">
        <w:rPr>
          <w:b/>
          <w:color w:val="404040"/>
          <w:sz w:val="15"/>
          <w:lang w:val="es-PE"/>
        </w:rPr>
        <w:t>ormativa vigente, ProInversión, Osinergmin y Ministerio de Energía y Minas; elaboración de APOYO Consultoría</w:t>
      </w:r>
    </w:p>
    <w:p w14:paraId="6E642F3A" w14:textId="77777777" w:rsidR="00A37447" w:rsidRPr="0036111A" w:rsidRDefault="00A37447">
      <w:pPr>
        <w:pStyle w:val="Ttulo1"/>
        <w:pageBreakBefore/>
        <w:rPr>
          <w:lang w:val="es-PE"/>
        </w:rPr>
      </w:pPr>
      <w:bookmarkStart w:id="49" w:name="_Toc235083045"/>
      <w:r w:rsidRPr="0036111A">
        <w:rPr>
          <w:lang w:val="es-PE"/>
        </w:rPr>
        <w:lastRenderedPageBreak/>
        <w:t>7. El gas natural en el contexto internacional</w:t>
      </w:r>
      <w:bookmarkEnd w:id="49"/>
    </w:p>
    <w:p w14:paraId="1474BEF5" w14:textId="77777777" w:rsidR="00A37447" w:rsidRPr="0036111A" w:rsidRDefault="00A37447">
      <w:pPr>
        <w:pStyle w:val="Ttulo2"/>
        <w:rPr>
          <w:lang w:val="es-PE"/>
        </w:rPr>
      </w:pPr>
      <w:bookmarkStart w:id="50" w:name="_Toc235083046"/>
      <w:r w:rsidRPr="0036111A">
        <w:rPr>
          <w:lang w:val="es-PE"/>
        </w:rPr>
        <w:t>7.1. Matriz energética mundial</w:t>
      </w:r>
      <w:bookmarkEnd w:id="50"/>
    </w:p>
    <w:p w14:paraId="5DCE6C48" w14:textId="568BC5C5" w:rsidR="00A37447" w:rsidRPr="0036111A" w:rsidRDefault="00A37447">
      <w:pPr>
        <w:keepLines/>
        <w:rPr>
          <w:lang w:val="es-PE"/>
        </w:rPr>
      </w:pPr>
      <w:r w:rsidRPr="0036111A">
        <w:rPr>
          <w:lang w:val="es-PE"/>
        </w:rPr>
        <w:t xml:space="preserve">En 2025, el consumo mundial de energía </w:t>
      </w:r>
      <w:r>
        <w:rPr>
          <w:lang w:val="es-PE"/>
        </w:rPr>
        <w:t>alcanzó cerca de 600</w:t>
      </w:r>
      <w:r w:rsidRPr="0036111A">
        <w:rPr>
          <w:lang w:val="es-PE"/>
        </w:rPr>
        <w:t xml:space="preserve"> exajoules (EJ), un incremento de 1 % respecto a 2024. Todas las fuentes registraron aumentos y las energías renovables volvieron a mostrar el mayor dinamismo, con un crecimiento cercano a 10 %, aunque su participación se mantiene acotada (6 % del total). Los combustibles fósiles, por su parte, mantienen un peso muy relevante en la matriz: cerca de 86 % del consumo total, con el petróleo aportando 201</w:t>
      </w:r>
      <w:r w:rsidR="00FC0956">
        <w:rPr>
          <w:lang w:val="es-PE"/>
        </w:rPr>
        <w:t xml:space="preserve"> </w:t>
      </w:r>
      <w:r w:rsidRPr="0036111A">
        <w:rPr>
          <w:lang w:val="es-PE"/>
        </w:rPr>
        <w:t>EJ, el carbón 166 EJ y el gas natural 15</w:t>
      </w:r>
      <w:r w:rsidR="00FC0956">
        <w:rPr>
          <w:lang w:val="es-PE"/>
        </w:rPr>
        <w:t>1</w:t>
      </w:r>
      <w:r w:rsidRPr="0036111A">
        <w:rPr>
          <w:lang w:val="es-PE"/>
        </w:rPr>
        <w:t xml:space="preserve"> EJ (25 % de la matriz).</w:t>
      </w:r>
    </w:p>
    <w:p w14:paraId="531CF799" w14:textId="405E9D01" w:rsidR="00A37447" w:rsidRPr="0036111A" w:rsidRDefault="00A37447">
      <w:pPr>
        <w:keepLines/>
        <w:rPr>
          <w:lang w:val="es-PE"/>
        </w:rPr>
      </w:pPr>
      <w:r w:rsidRPr="0036111A">
        <w:rPr>
          <w:lang w:val="es-PE"/>
        </w:rPr>
        <w:t>A nivel regional, Asia-Pacífico concentró casi la mitad del consumo mundial (28</w:t>
      </w:r>
      <w:r w:rsidR="00FC0956">
        <w:rPr>
          <w:lang w:val="es-PE"/>
        </w:rPr>
        <w:t>4</w:t>
      </w:r>
      <w:r w:rsidRPr="0036111A">
        <w:rPr>
          <w:lang w:val="es-PE"/>
        </w:rPr>
        <w:t xml:space="preserve"> EJ), con China representando por sí sola más de 27 % del total global (162 EJ). Norteamérica consumió 11</w:t>
      </w:r>
      <w:r w:rsidR="00FC0956">
        <w:rPr>
          <w:lang w:val="es-PE"/>
        </w:rPr>
        <w:t>4</w:t>
      </w:r>
      <w:r w:rsidRPr="0036111A">
        <w:rPr>
          <w:lang w:val="es-PE"/>
        </w:rPr>
        <w:t xml:space="preserve"> EJ y Europa se mantuvo prácticamente estable en 72 EJ.</w:t>
      </w:r>
    </w:p>
    <w:p w14:paraId="602254DA" w14:textId="77777777" w:rsidR="00C75A27" w:rsidRDefault="00D4093E">
      <w:pPr>
        <w:spacing w:before="160"/>
        <w:jc w:val="center"/>
      </w:pPr>
      <w:r>
        <w:rPr>
          <w:noProof/>
        </w:rPr>
        <w:drawing>
          <wp:inline distT="0" distB="0" distL="0" distR="0" wp14:anchorId="7564D843" wp14:editId="38C98218">
            <wp:extent cx="4320000" cy="2710467"/>
            <wp:effectExtent l="0" t="0" r="0" b="0"/>
            <wp:docPr id="90114" name="Picture 9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03.png"/>
                    <pic:cNvPicPr/>
                  </pic:nvPicPr>
                  <pic:blipFill>
                    <a:blip r:embed="rId115"/>
                    <a:stretch>
                      <a:fillRect/>
                    </a:stretch>
                  </pic:blipFill>
                  <pic:spPr>
                    <a:xfrm>
                      <a:off x="0" y="0"/>
                      <a:ext cx="4320000" cy="2710467"/>
                    </a:xfrm>
                    <a:prstGeom prst="rect">
                      <a:avLst/>
                    </a:prstGeom>
                  </pic:spPr>
                </pic:pic>
              </a:graphicData>
            </a:graphic>
          </wp:inline>
        </w:drawing>
      </w:r>
    </w:p>
    <w:p w14:paraId="201E1FAA" w14:textId="3706F650" w:rsidR="00C75A27" w:rsidRDefault="00D4093E">
      <w:pPr>
        <w:spacing w:before="160"/>
        <w:jc w:val="center"/>
      </w:pPr>
      <w:r>
        <w:rPr>
          <w:noProof/>
        </w:rPr>
        <w:drawing>
          <wp:inline distT="0" distB="0" distL="0" distR="0" wp14:anchorId="2590A105" wp14:editId="387E0F8A">
            <wp:extent cx="4320000" cy="2710467"/>
            <wp:effectExtent l="0" t="0" r="0" b="0"/>
            <wp:docPr id="2110891834" name="Imagen 211089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04.png"/>
                    <pic:cNvPicPr/>
                  </pic:nvPicPr>
                  <pic:blipFill>
                    <a:blip r:embed="rId116"/>
                    <a:stretch>
                      <a:fillRect/>
                    </a:stretch>
                  </pic:blipFill>
                  <pic:spPr>
                    <a:xfrm>
                      <a:off x="0" y="0"/>
                      <a:ext cx="4320000" cy="2710467"/>
                    </a:xfrm>
                    <a:prstGeom prst="rect">
                      <a:avLst/>
                    </a:prstGeom>
                  </pic:spPr>
                </pic:pic>
              </a:graphicData>
            </a:graphic>
          </wp:inline>
        </w:drawing>
      </w:r>
    </w:p>
    <w:p w14:paraId="19538293" w14:textId="42A25D69" w:rsidR="00A37447" w:rsidRDefault="00A37447">
      <w:pPr>
        <w:spacing w:before="160"/>
        <w:jc w:val="center"/>
      </w:pPr>
    </w:p>
    <w:p w14:paraId="390FE69B" w14:textId="77777777" w:rsidR="00A37447" w:rsidRDefault="00A37447">
      <w:pPr>
        <w:spacing w:before="160"/>
        <w:jc w:val="center"/>
      </w:pPr>
      <w:r>
        <w:rPr>
          <w:noProof/>
        </w:rPr>
        <w:lastRenderedPageBreak/>
        <w:drawing>
          <wp:inline distT="0" distB="0" distL="0" distR="0" wp14:anchorId="5726E8FD" wp14:editId="0AC5132C">
            <wp:extent cx="4320000" cy="2726123"/>
            <wp:effectExtent l="0" t="0" r="0" b="0"/>
            <wp:docPr id="90116" name="Picture 9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002.png"/>
                    <pic:cNvPicPr/>
                  </pic:nvPicPr>
                  <pic:blipFill>
                    <a:blip r:embed="rId12"/>
                    <a:stretch>
                      <a:fillRect/>
                    </a:stretch>
                  </pic:blipFill>
                  <pic:spPr>
                    <a:xfrm>
                      <a:off x="0" y="0"/>
                      <a:ext cx="4320000" cy="2726123"/>
                    </a:xfrm>
                    <a:prstGeom prst="rect">
                      <a:avLst/>
                    </a:prstGeom>
                  </pic:spPr>
                </pic:pic>
              </a:graphicData>
            </a:graphic>
          </wp:inline>
        </w:drawing>
      </w:r>
    </w:p>
    <w:p w14:paraId="284FC81E" w14:textId="77777777" w:rsidR="00A37447" w:rsidRDefault="00A37447">
      <w:pPr>
        <w:spacing w:after="80"/>
      </w:pPr>
    </w:p>
    <w:p w14:paraId="17BCEB9C" w14:textId="77777777" w:rsidR="00A37447" w:rsidRDefault="00A37447">
      <w:pPr>
        <w:spacing w:before="160"/>
        <w:jc w:val="center"/>
      </w:pPr>
      <w:r>
        <w:rPr>
          <w:noProof/>
        </w:rPr>
        <w:drawing>
          <wp:inline distT="0" distB="0" distL="0" distR="0" wp14:anchorId="457D299E" wp14:editId="6DB279CC">
            <wp:extent cx="5400000" cy="3086068"/>
            <wp:effectExtent l="0" t="0" r="0" b="0"/>
            <wp:docPr id="90117" name="Picture 9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06.png"/>
                    <pic:cNvPicPr/>
                  </pic:nvPicPr>
                  <pic:blipFill>
                    <a:blip r:embed="rId117"/>
                    <a:stretch>
                      <a:fillRect/>
                    </a:stretch>
                  </pic:blipFill>
                  <pic:spPr>
                    <a:xfrm>
                      <a:off x="0" y="0"/>
                      <a:ext cx="5400000" cy="3086068"/>
                    </a:xfrm>
                    <a:prstGeom prst="rect">
                      <a:avLst/>
                    </a:prstGeom>
                  </pic:spPr>
                </pic:pic>
              </a:graphicData>
            </a:graphic>
          </wp:inline>
        </w:drawing>
      </w:r>
    </w:p>
    <w:p w14:paraId="45A788CD" w14:textId="77777777" w:rsidR="00A37447" w:rsidRDefault="00A37447">
      <w:pPr>
        <w:keepNext/>
        <w:spacing w:after="80"/>
      </w:pPr>
    </w:p>
    <w:p w14:paraId="4738051A" w14:textId="77777777" w:rsidR="00A37447" w:rsidRPr="0036111A" w:rsidRDefault="00A37447">
      <w:pPr>
        <w:keepNext/>
        <w:keepLines/>
        <w:rPr>
          <w:lang w:val="es-PE"/>
        </w:rPr>
      </w:pPr>
      <w:r w:rsidRPr="0036111A">
        <w:rPr>
          <w:b/>
          <w:color w:val="15607F"/>
          <w:lang w:val="es-PE"/>
        </w:rPr>
        <w:t>CONSUMO MUNDIAL DE ENERGÍA POR FUENTE</w:t>
      </w:r>
    </w:p>
    <w:p w14:paraId="4B288E1C" w14:textId="77777777" w:rsidR="00A37447" w:rsidRDefault="00A37447">
      <w:pPr>
        <w:keepNext/>
        <w:keepLines/>
      </w:pPr>
      <w:r>
        <w:rPr>
          <w:i/>
          <w:color w:val="595959"/>
          <w:sz w:val="18"/>
        </w:rPr>
        <w:t>Exajoules (EJ)</w:t>
      </w:r>
    </w:p>
    <w:tbl>
      <w:tblPr>
        <w:tblStyle w:val="Tablaconcuadrcula"/>
        <w:tblW w:w="0" w:type="auto"/>
        <w:jc w:val="center"/>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1836"/>
        <w:gridCol w:w="880"/>
        <w:gridCol w:w="881"/>
        <w:gridCol w:w="881"/>
        <w:gridCol w:w="881"/>
        <w:gridCol w:w="881"/>
        <w:gridCol w:w="1132"/>
        <w:gridCol w:w="1132"/>
      </w:tblGrid>
      <w:tr w:rsidR="00855697" w14:paraId="1ED6A546" w14:textId="77777777">
        <w:trPr>
          <w:cantSplit/>
          <w:tblHeader/>
          <w:jc w:val="center"/>
        </w:trPr>
        <w:tc>
          <w:tcPr>
            <w:tcW w:w="2041" w:type="dxa"/>
            <w:shd w:val="clear" w:color="auto" w:fill="1F3864"/>
            <w:noWrap/>
          </w:tcPr>
          <w:p w14:paraId="6DE0B5F0" w14:textId="77777777" w:rsidR="00A37447" w:rsidRDefault="00A37447">
            <w:pPr>
              <w:keepNext/>
            </w:pPr>
            <w:r>
              <w:rPr>
                <w:b/>
                <w:color w:val="FFFFFF"/>
                <w:sz w:val="18"/>
              </w:rPr>
              <w:t>Fuente</w:t>
            </w:r>
          </w:p>
        </w:tc>
        <w:tc>
          <w:tcPr>
            <w:tcW w:w="964" w:type="dxa"/>
            <w:shd w:val="clear" w:color="auto" w:fill="1F3864"/>
            <w:noWrap/>
          </w:tcPr>
          <w:p w14:paraId="60B0BC5C" w14:textId="77777777" w:rsidR="00A37447" w:rsidRDefault="00A37447">
            <w:pPr>
              <w:keepNext/>
              <w:jc w:val="right"/>
            </w:pPr>
            <w:r>
              <w:rPr>
                <w:b/>
                <w:color w:val="FFFFFF"/>
                <w:sz w:val="18"/>
              </w:rPr>
              <w:t>2021</w:t>
            </w:r>
          </w:p>
        </w:tc>
        <w:tc>
          <w:tcPr>
            <w:tcW w:w="964" w:type="dxa"/>
            <w:shd w:val="clear" w:color="auto" w:fill="1F3864"/>
            <w:noWrap/>
          </w:tcPr>
          <w:p w14:paraId="7736FF25" w14:textId="77777777" w:rsidR="00A37447" w:rsidRDefault="00A37447">
            <w:pPr>
              <w:keepNext/>
              <w:jc w:val="right"/>
            </w:pPr>
            <w:r>
              <w:rPr>
                <w:b/>
                <w:color w:val="FFFFFF"/>
                <w:sz w:val="18"/>
              </w:rPr>
              <w:t>2022</w:t>
            </w:r>
          </w:p>
        </w:tc>
        <w:tc>
          <w:tcPr>
            <w:tcW w:w="964" w:type="dxa"/>
            <w:shd w:val="clear" w:color="auto" w:fill="1F3864"/>
            <w:noWrap/>
          </w:tcPr>
          <w:p w14:paraId="13E71399" w14:textId="77777777" w:rsidR="00A37447" w:rsidRDefault="00A37447">
            <w:pPr>
              <w:keepNext/>
              <w:jc w:val="right"/>
            </w:pPr>
            <w:r>
              <w:rPr>
                <w:b/>
                <w:color w:val="FFFFFF"/>
                <w:sz w:val="18"/>
              </w:rPr>
              <w:t>2023</w:t>
            </w:r>
          </w:p>
        </w:tc>
        <w:tc>
          <w:tcPr>
            <w:tcW w:w="964" w:type="dxa"/>
            <w:shd w:val="clear" w:color="auto" w:fill="1F3864"/>
            <w:noWrap/>
          </w:tcPr>
          <w:p w14:paraId="22E79074" w14:textId="77777777" w:rsidR="00A37447" w:rsidRDefault="00A37447">
            <w:pPr>
              <w:keepNext/>
              <w:jc w:val="right"/>
            </w:pPr>
            <w:r>
              <w:rPr>
                <w:b/>
                <w:color w:val="FFFFFF"/>
                <w:sz w:val="18"/>
              </w:rPr>
              <w:t>2024</w:t>
            </w:r>
          </w:p>
        </w:tc>
        <w:tc>
          <w:tcPr>
            <w:tcW w:w="964" w:type="dxa"/>
            <w:shd w:val="clear" w:color="auto" w:fill="1F3864"/>
            <w:noWrap/>
          </w:tcPr>
          <w:p w14:paraId="289D6AA3" w14:textId="77777777" w:rsidR="00A37447" w:rsidRDefault="00A37447">
            <w:pPr>
              <w:keepNext/>
              <w:jc w:val="right"/>
            </w:pPr>
            <w:r>
              <w:rPr>
                <w:b/>
                <w:color w:val="FFFFFF"/>
                <w:sz w:val="18"/>
              </w:rPr>
              <w:t>2025</w:t>
            </w:r>
          </w:p>
        </w:tc>
        <w:tc>
          <w:tcPr>
            <w:tcW w:w="1247" w:type="dxa"/>
            <w:shd w:val="clear" w:color="auto" w:fill="1F3864"/>
          </w:tcPr>
          <w:p w14:paraId="3A10C768" w14:textId="77777777" w:rsidR="00A37447" w:rsidRDefault="00A37447">
            <w:pPr>
              <w:keepNext/>
              <w:jc w:val="right"/>
            </w:pPr>
            <w:r>
              <w:rPr>
                <w:b/>
                <w:color w:val="FFFFFF"/>
                <w:sz w:val="18"/>
              </w:rPr>
              <w:t>Var. % 2025 vs 2024</w:t>
            </w:r>
          </w:p>
        </w:tc>
        <w:tc>
          <w:tcPr>
            <w:tcW w:w="1247" w:type="dxa"/>
            <w:shd w:val="clear" w:color="auto" w:fill="1F3864"/>
            <w:noWrap/>
          </w:tcPr>
          <w:p w14:paraId="30BEB29B" w14:textId="77777777" w:rsidR="00A37447" w:rsidRDefault="00A37447">
            <w:pPr>
              <w:keepNext/>
              <w:jc w:val="right"/>
            </w:pPr>
            <w:r>
              <w:rPr>
                <w:b/>
                <w:color w:val="FFFFFF"/>
                <w:sz w:val="18"/>
              </w:rPr>
              <w:t>TACC 2021-2025</w:t>
            </w:r>
          </w:p>
        </w:tc>
      </w:tr>
      <w:tr w:rsidR="00855697" w14:paraId="40066332" w14:textId="77777777">
        <w:trPr>
          <w:cantSplit/>
          <w:jc w:val="center"/>
        </w:trPr>
        <w:tc>
          <w:tcPr>
            <w:tcW w:w="2041" w:type="dxa"/>
            <w:noWrap/>
          </w:tcPr>
          <w:p w14:paraId="2B8F346A" w14:textId="77777777" w:rsidR="00A37447" w:rsidRDefault="00A37447">
            <w:pPr>
              <w:keepNext/>
            </w:pPr>
            <w:r>
              <w:rPr>
                <w:sz w:val="18"/>
              </w:rPr>
              <w:t>Petróleo</w:t>
            </w:r>
          </w:p>
        </w:tc>
        <w:tc>
          <w:tcPr>
            <w:tcW w:w="964" w:type="dxa"/>
            <w:noWrap/>
          </w:tcPr>
          <w:p w14:paraId="2FDA9303" w14:textId="77777777" w:rsidR="00A37447" w:rsidRDefault="00A37447">
            <w:pPr>
              <w:keepNext/>
              <w:jc w:val="right"/>
            </w:pPr>
            <w:r>
              <w:rPr>
                <w:sz w:val="18"/>
              </w:rPr>
              <w:t>185,9</w:t>
            </w:r>
          </w:p>
        </w:tc>
        <w:tc>
          <w:tcPr>
            <w:tcW w:w="964" w:type="dxa"/>
            <w:noWrap/>
          </w:tcPr>
          <w:p w14:paraId="6F469F05" w14:textId="77777777" w:rsidR="00A37447" w:rsidRDefault="00A37447">
            <w:pPr>
              <w:keepNext/>
              <w:jc w:val="right"/>
            </w:pPr>
            <w:r>
              <w:rPr>
                <w:sz w:val="18"/>
              </w:rPr>
              <w:t>192,3</w:t>
            </w:r>
          </w:p>
        </w:tc>
        <w:tc>
          <w:tcPr>
            <w:tcW w:w="964" w:type="dxa"/>
            <w:noWrap/>
          </w:tcPr>
          <w:p w14:paraId="034F8738" w14:textId="77777777" w:rsidR="00A37447" w:rsidRDefault="00A37447">
            <w:pPr>
              <w:keepNext/>
              <w:jc w:val="right"/>
            </w:pPr>
            <w:r>
              <w:rPr>
                <w:sz w:val="18"/>
              </w:rPr>
              <w:t>196,8</w:t>
            </w:r>
          </w:p>
        </w:tc>
        <w:tc>
          <w:tcPr>
            <w:tcW w:w="964" w:type="dxa"/>
            <w:noWrap/>
          </w:tcPr>
          <w:p w14:paraId="1D032153" w14:textId="77777777" w:rsidR="00A37447" w:rsidRDefault="00A37447">
            <w:pPr>
              <w:keepNext/>
              <w:jc w:val="right"/>
            </w:pPr>
            <w:r>
              <w:rPr>
                <w:sz w:val="18"/>
              </w:rPr>
              <w:t>199,0</w:t>
            </w:r>
          </w:p>
        </w:tc>
        <w:tc>
          <w:tcPr>
            <w:tcW w:w="964" w:type="dxa"/>
            <w:noWrap/>
          </w:tcPr>
          <w:p w14:paraId="1C22268D" w14:textId="77777777" w:rsidR="00A37447" w:rsidRDefault="00A37447">
            <w:pPr>
              <w:keepNext/>
              <w:jc w:val="right"/>
            </w:pPr>
            <w:r>
              <w:rPr>
                <w:sz w:val="18"/>
              </w:rPr>
              <w:t>201,0</w:t>
            </w:r>
          </w:p>
        </w:tc>
        <w:tc>
          <w:tcPr>
            <w:tcW w:w="1247" w:type="dxa"/>
            <w:noWrap/>
          </w:tcPr>
          <w:p w14:paraId="652DBEF2" w14:textId="77777777" w:rsidR="00A37447" w:rsidRDefault="00A37447">
            <w:pPr>
              <w:keepNext/>
              <w:jc w:val="right"/>
            </w:pPr>
            <w:r>
              <w:rPr>
                <w:sz w:val="18"/>
              </w:rPr>
              <w:t>1,0 %</w:t>
            </w:r>
          </w:p>
        </w:tc>
        <w:tc>
          <w:tcPr>
            <w:tcW w:w="1247" w:type="dxa"/>
            <w:noWrap/>
          </w:tcPr>
          <w:p w14:paraId="27032DF2" w14:textId="77777777" w:rsidR="00A37447" w:rsidRDefault="00A37447">
            <w:pPr>
              <w:keepNext/>
              <w:jc w:val="right"/>
            </w:pPr>
            <w:r>
              <w:rPr>
                <w:sz w:val="18"/>
              </w:rPr>
              <w:t>2,0 %</w:t>
            </w:r>
          </w:p>
        </w:tc>
      </w:tr>
      <w:tr w:rsidR="00855697" w14:paraId="5CBC70D5" w14:textId="77777777">
        <w:trPr>
          <w:cantSplit/>
          <w:jc w:val="center"/>
        </w:trPr>
        <w:tc>
          <w:tcPr>
            <w:tcW w:w="2041" w:type="dxa"/>
            <w:noWrap/>
          </w:tcPr>
          <w:p w14:paraId="50185D8A" w14:textId="77777777" w:rsidR="00A37447" w:rsidRDefault="00A37447">
            <w:pPr>
              <w:keepNext/>
            </w:pPr>
            <w:r>
              <w:rPr>
                <w:sz w:val="18"/>
              </w:rPr>
              <w:t>Carbón</w:t>
            </w:r>
          </w:p>
        </w:tc>
        <w:tc>
          <w:tcPr>
            <w:tcW w:w="964" w:type="dxa"/>
            <w:noWrap/>
          </w:tcPr>
          <w:p w14:paraId="51C951F2" w14:textId="77777777" w:rsidR="00A37447" w:rsidRDefault="00A37447">
            <w:pPr>
              <w:keepNext/>
              <w:jc w:val="right"/>
            </w:pPr>
            <w:r>
              <w:rPr>
                <w:sz w:val="18"/>
              </w:rPr>
              <w:t>159,2</w:t>
            </w:r>
          </w:p>
        </w:tc>
        <w:tc>
          <w:tcPr>
            <w:tcW w:w="964" w:type="dxa"/>
            <w:noWrap/>
          </w:tcPr>
          <w:p w14:paraId="33599073" w14:textId="77777777" w:rsidR="00A37447" w:rsidRDefault="00A37447">
            <w:pPr>
              <w:keepNext/>
              <w:jc w:val="right"/>
            </w:pPr>
            <w:r>
              <w:rPr>
                <w:sz w:val="18"/>
              </w:rPr>
              <w:t>161,1</w:t>
            </w:r>
          </w:p>
        </w:tc>
        <w:tc>
          <w:tcPr>
            <w:tcW w:w="964" w:type="dxa"/>
            <w:noWrap/>
          </w:tcPr>
          <w:p w14:paraId="0E0755F6" w14:textId="77777777" w:rsidR="00A37447" w:rsidRDefault="00A37447">
            <w:pPr>
              <w:keepNext/>
              <w:jc w:val="right"/>
            </w:pPr>
            <w:r>
              <w:rPr>
                <w:sz w:val="18"/>
              </w:rPr>
              <w:t>163,8</w:t>
            </w:r>
          </w:p>
        </w:tc>
        <w:tc>
          <w:tcPr>
            <w:tcW w:w="964" w:type="dxa"/>
            <w:noWrap/>
          </w:tcPr>
          <w:p w14:paraId="4A796B19" w14:textId="77777777" w:rsidR="00A37447" w:rsidRDefault="00A37447">
            <w:pPr>
              <w:keepNext/>
              <w:jc w:val="right"/>
            </w:pPr>
            <w:r>
              <w:rPr>
                <w:sz w:val="18"/>
              </w:rPr>
              <w:t>165,4</w:t>
            </w:r>
          </w:p>
        </w:tc>
        <w:tc>
          <w:tcPr>
            <w:tcW w:w="964" w:type="dxa"/>
            <w:noWrap/>
          </w:tcPr>
          <w:p w14:paraId="2F0E88C8" w14:textId="77777777" w:rsidR="00A37447" w:rsidRDefault="00A37447">
            <w:pPr>
              <w:keepNext/>
              <w:jc w:val="right"/>
            </w:pPr>
            <w:r>
              <w:rPr>
                <w:sz w:val="18"/>
              </w:rPr>
              <w:t>166,0</w:t>
            </w:r>
          </w:p>
        </w:tc>
        <w:tc>
          <w:tcPr>
            <w:tcW w:w="1247" w:type="dxa"/>
            <w:noWrap/>
          </w:tcPr>
          <w:p w14:paraId="5BA22D4E" w14:textId="77777777" w:rsidR="00A37447" w:rsidRDefault="00A37447">
            <w:pPr>
              <w:keepNext/>
              <w:jc w:val="right"/>
            </w:pPr>
            <w:r>
              <w:rPr>
                <w:sz w:val="18"/>
              </w:rPr>
              <w:t>0,4 %</w:t>
            </w:r>
          </w:p>
        </w:tc>
        <w:tc>
          <w:tcPr>
            <w:tcW w:w="1247" w:type="dxa"/>
            <w:noWrap/>
          </w:tcPr>
          <w:p w14:paraId="77B10291" w14:textId="77777777" w:rsidR="00A37447" w:rsidRDefault="00A37447">
            <w:pPr>
              <w:keepNext/>
              <w:jc w:val="right"/>
            </w:pPr>
            <w:r>
              <w:rPr>
                <w:sz w:val="18"/>
              </w:rPr>
              <w:t>1,1 %</w:t>
            </w:r>
          </w:p>
        </w:tc>
      </w:tr>
      <w:tr w:rsidR="00855697" w14:paraId="29C82B7F" w14:textId="77777777">
        <w:trPr>
          <w:cantSplit/>
          <w:jc w:val="center"/>
        </w:trPr>
        <w:tc>
          <w:tcPr>
            <w:tcW w:w="2041" w:type="dxa"/>
            <w:noWrap/>
          </w:tcPr>
          <w:p w14:paraId="44417478" w14:textId="77777777" w:rsidR="00A37447" w:rsidRDefault="00A37447">
            <w:pPr>
              <w:keepNext/>
            </w:pPr>
            <w:r>
              <w:rPr>
                <w:sz w:val="18"/>
              </w:rPr>
              <w:t>Gas natural</w:t>
            </w:r>
          </w:p>
        </w:tc>
        <w:tc>
          <w:tcPr>
            <w:tcW w:w="964" w:type="dxa"/>
            <w:noWrap/>
          </w:tcPr>
          <w:p w14:paraId="1E1DF850" w14:textId="77777777" w:rsidR="00A37447" w:rsidRDefault="00A37447">
            <w:pPr>
              <w:keepNext/>
              <w:jc w:val="right"/>
            </w:pPr>
            <w:r>
              <w:rPr>
                <w:sz w:val="18"/>
              </w:rPr>
              <w:t>144,8</w:t>
            </w:r>
          </w:p>
        </w:tc>
        <w:tc>
          <w:tcPr>
            <w:tcW w:w="964" w:type="dxa"/>
            <w:noWrap/>
          </w:tcPr>
          <w:p w14:paraId="7ECBCAEF" w14:textId="77777777" w:rsidR="00A37447" w:rsidRDefault="00A37447">
            <w:pPr>
              <w:keepNext/>
              <w:jc w:val="right"/>
            </w:pPr>
            <w:r>
              <w:rPr>
                <w:sz w:val="18"/>
              </w:rPr>
              <w:t>144,1</w:t>
            </w:r>
          </w:p>
        </w:tc>
        <w:tc>
          <w:tcPr>
            <w:tcW w:w="964" w:type="dxa"/>
            <w:noWrap/>
          </w:tcPr>
          <w:p w14:paraId="6B3523AA" w14:textId="77777777" w:rsidR="00A37447" w:rsidRDefault="00A37447">
            <w:pPr>
              <w:keepNext/>
              <w:jc w:val="right"/>
            </w:pPr>
            <w:r>
              <w:rPr>
                <w:sz w:val="18"/>
              </w:rPr>
              <w:t>144,5</w:t>
            </w:r>
          </w:p>
        </w:tc>
        <w:tc>
          <w:tcPr>
            <w:tcW w:w="964" w:type="dxa"/>
            <w:noWrap/>
          </w:tcPr>
          <w:p w14:paraId="70A61FE0" w14:textId="77777777" w:rsidR="00A37447" w:rsidRDefault="00A37447">
            <w:pPr>
              <w:keepNext/>
              <w:jc w:val="right"/>
            </w:pPr>
            <w:r>
              <w:rPr>
                <w:sz w:val="18"/>
              </w:rPr>
              <w:t>148,7</w:t>
            </w:r>
          </w:p>
        </w:tc>
        <w:tc>
          <w:tcPr>
            <w:tcW w:w="964" w:type="dxa"/>
            <w:noWrap/>
          </w:tcPr>
          <w:p w14:paraId="3021BC9A" w14:textId="77777777" w:rsidR="00A37447" w:rsidRDefault="00A37447">
            <w:pPr>
              <w:keepNext/>
              <w:jc w:val="right"/>
            </w:pPr>
            <w:r>
              <w:rPr>
                <w:sz w:val="18"/>
              </w:rPr>
              <w:t>150,7</w:t>
            </w:r>
          </w:p>
        </w:tc>
        <w:tc>
          <w:tcPr>
            <w:tcW w:w="1247" w:type="dxa"/>
            <w:noWrap/>
          </w:tcPr>
          <w:p w14:paraId="194D2CE6" w14:textId="77777777" w:rsidR="00A37447" w:rsidRDefault="00A37447">
            <w:pPr>
              <w:keepNext/>
              <w:jc w:val="right"/>
            </w:pPr>
            <w:r>
              <w:rPr>
                <w:sz w:val="18"/>
              </w:rPr>
              <w:t>1,3 %</w:t>
            </w:r>
          </w:p>
        </w:tc>
        <w:tc>
          <w:tcPr>
            <w:tcW w:w="1247" w:type="dxa"/>
            <w:noWrap/>
          </w:tcPr>
          <w:p w14:paraId="40C03BF0" w14:textId="77777777" w:rsidR="00A37447" w:rsidRDefault="00A37447">
            <w:pPr>
              <w:keepNext/>
              <w:jc w:val="right"/>
            </w:pPr>
            <w:r>
              <w:rPr>
                <w:sz w:val="18"/>
              </w:rPr>
              <w:t>1,0 %</w:t>
            </w:r>
          </w:p>
        </w:tc>
      </w:tr>
      <w:tr w:rsidR="00855697" w14:paraId="694AA5FC" w14:textId="77777777">
        <w:trPr>
          <w:cantSplit/>
          <w:jc w:val="center"/>
        </w:trPr>
        <w:tc>
          <w:tcPr>
            <w:tcW w:w="2041" w:type="dxa"/>
            <w:noWrap/>
          </w:tcPr>
          <w:p w14:paraId="7F3981A6" w14:textId="77777777" w:rsidR="00A37447" w:rsidRDefault="00A37447">
            <w:pPr>
              <w:keepNext/>
            </w:pPr>
            <w:r>
              <w:rPr>
                <w:sz w:val="18"/>
              </w:rPr>
              <w:t>Renovables</w:t>
            </w:r>
          </w:p>
        </w:tc>
        <w:tc>
          <w:tcPr>
            <w:tcW w:w="964" w:type="dxa"/>
            <w:noWrap/>
          </w:tcPr>
          <w:p w14:paraId="5C2FA754" w14:textId="77777777" w:rsidR="00A37447" w:rsidRDefault="00A37447">
            <w:pPr>
              <w:keepNext/>
              <w:jc w:val="right"/>
            </w:pPr>
            <w:r>
              <w:rPr>
                <w:sz w:val="18"/>
              </w:rPr>
              <w:t>24,4</w:t>
            </w:r>
          </w:p>
        </w:tc>
        <w:tc>
          <w:tcPr>
            <w:tcW w:w="964" w:type="dxa"/>
            <w:noWrap/>
          </w:tcPr>
          <w:p w14:paraId="2B331C41" w14:textId="77777777" w:rsidR="00A37447" w:rsidRDefault="00A37447">
            <w:pPr>
              <w:keepNext/>
              <w:jc w:val="right"/>
            </w:pPr>
            <w:r>
              <w:rPr>
                <w:sz w:val="18"/>
              </w:rPr>
              <w:t>26,7</w:t>
            </w:r>
          </w:p>
        </w:tc>
        <w:tc>
          <w:tcPr>
            <w:tcW w:w="964" w:type="dxa"/>
            <w:noWrap/>
          </w:tcPr>
          <w:p w14:paraId="62CFC22D" w14:textId="77777777" w:rsidR="00A37447" w:rsidRDefault="00A37447">
            <w:pPr>
              <w:keepNext/>
              <w:jc w:val="right"/>
            </w:pPr>
            <w:r>
              <w:rPr>
                <w:sz w:val="18"/>
              </w:rPr>
              <w:t>29,3</w:t>
            </w:r>
          </w:p>
        </w:tc>
        <w:tc>
          <w:tcPr>
            <w:tcW w:w="964" w:type="dxa"/>
            <w:noWrap/>
          </w:tcPr>
          <w:p w14:paraId="57592D03" w14:textId="77777777" w:rsidR="00A37447" w:rsidRDefault="00A37447">
            <w:pPr>
              <w:keepNext/>
              <w:jc w:val="right"/>
            </w:pPr>
            <w:r>
              <w:rPr>
                <w:sz w:val="18"/>
              </w:rPr>
              <w:t>32,2</w:t>
            </w:r>
          </w:p>
        </w:tc>
        <w:tc>
          <w:tcPr>
            <w:tcW w:w="964" w:type="dxa"/>
            <w:noWrap/>
          </w:tcPr>
          <w:p w14:paraId="13209ED0" w14:textId="77777777" w:rsidR="00A37447" w:rsidRDefault="00A37447">
            <w:pPr>
              <w:keepNext/>
              <w:jc w:val="right"/>
            </w:pPr>
            <w:r>
              <w:rPr>
                <w:sz w:val="18"/>
              </w:rPr>
              <w:t>35,4</w:t>
            </w:r>
          </w:p>
        </w:tc>
        <w:tc>
          <w:tcPr>
            <w:tcW w:w="1247" w:type="dxa"/>
            <w:noWrap/>
          </w:tcPr>
          <w:p w14:paraId="6579596B" w14:textId="77777777" w:rsidR="00A37447" w:rsidRDefault="00A37447">
            <w:pPr>
              <w:keepNext/>
              <w:jc w:val="right"/>
            </w:pPr>
            <w:r>
              <w:rPr>
                <w:sz w:val="18"/>
              </w:rPr>
              <w:t>9,9 %</w:t>
            </w:r>
          </w:p>
        </w:tc>
        <w:tc>
          <w:tcPr>
            <w:tcW w:w="1247" w:type="dxa"/>
            <w:noWrap/>
          </w:tcPr>
          <w:p w14:paraId="7B683F20" w14:textId="77777777" w:rsidR="00A37447" w:rsidRDefault="00A37447">
            <w:pPr>
              <w:keepNext/>
              <w:jc w:val="right"/>
            </w:pPr>
            <w:r>
              <w:rPr>
                <w:sz w:val="18"/>
              </w:rPr>
              <w:t>9,7 %</w:t>
            </w:r>
          </w:p>
        </w:tc>
      </w:tr>
      <w:tr w:rsidR="00855697" w14:paraId="568F17C3" w14:textId="77777777">
        <w:trPr>
          <w:cantSplit/>
          <w:jc w:val="center"/>
        </w:trPr>
        <w:tc>
          <w:tcPr>
            <w:tcW w:w="2041" w:type="dxa"/>
          </w:tcPr>
          <w:p w14:paraId="6FCE9C05" w14:textId="77777777" w:rsidR="00A37447" w:rsidRDefault="00A37447">
            <w:pPr>
              <w:keepNext/>
            </w:pPr>
            <w:r>
              <w:rPr>
                <w:sz w:val="18"/>
              </w:rPr>
              <w:t>Hidroelectricidad</w:t>
            </w:r>
          </w:p>
        </w:tc>
        <w:tc>
          <w:tcPr>
            <w:tcW w:w="964" w:type="dxa"/>
            <w:noWrap/>
          </w:tcPr>
          <w:p w14:paraId="64446619" w14:textId="77777777" w:rsidR="00A37447" w:rsidRDefault="00A37447">
            <w:pPr>
              <w:keepNext/>
              <w:jc w:val="right"/>
            </w:pPr>
            <w:r>
              <w:rPr>
                <w:sz w:val="18"/>
              </w:rPr>
              <w:t>15,4</w:t>
            </w:r>
          </w:p>
        </w:tc>
        <w:tc>
          <w:tcPr>
            <w:tcW w:w="964" w:type="dxa"/>
            <w:noWrap/>
          </w:tcPr>
          <w:p w14:paraId="2F0DB7B5" w14:textId="77777777" w:rsidR="00A37447" w:rsidRDefault="00A37447">
            <w:pPr>
              <w:keepNext/>
              <w:jc w:val="right"/>
            </w:pPr>
            <w:r>
              <w:rPr>
                <w:sz w:val="18"/>
              </w:rPr>
              <w:t>15,6</w:t>
            </w:r>
          </w:p>
        </w:tc>
        <w:tc>
          <w:tcPr>
            <w:tcW w:w="964" w:type="dxa"/>
            <w:noWrap/>
          </w:tcPr>
          <w:p w14:paraId="3C4D6070" w14:textId="77777777" w:rsidR="00A37447" w:rsidRDefault="00A37447">
            <w:pPr>
              <w:keepNext/>
              <w:jc w:val="right"/>
            </w:pPr>
            <w:r>
              <w:rPr>
                <w:sz w:val="18"/>
              </w:rPr>
              <w:t>15,4</w:t>
            </w:r>
          </w:p>
        </w:tc>
        <w:tc>
          <w:tcPr>
            <w:tcW w:w="964" w:type="dxa"/>
            <w:noWrap/>
          </w:tcPr>
          <w:p w14:paraId="7F797FAD" w14:textId="77777777" w:rsidR="00A37447" w:rsidRDefault="00A37447">
            <w:pPr>
              <w:keepNext/>
              <w:jc w:val="right"/>
            </w:pPr>
            <w:r>
              <w:rPr>
                <w:sz w:val="18"/>
              </w:rPr>
              <w:t>16,1</w:t>
            </w:r>
          </w:p>
        </w:tc>
        <w:tc>
          <w:tcPr>
            <w:tcW w:w="964" w:type="dxa"/>
            <w:noWrap/>
          </w:tcPr>
          <w:p w14:paraId="73240BA0" w14:textId="77777777" w:rsidR="00A37447" w:rsidRDefault="00A37447">
            <w:pPr>
              <w:keepNext/>
              <w:jc w:val="right"/>
            </w:pPr>
            <w:r>
              <w:rPr>
                <w:sz w:val="18"/>
              </w:rPr>
              <w:t>16,1</w:t>
            </w:r>
          </w:p>
        </w:tc>
        <w:tc>
          <w:tcPr>
            <w:tcW w:w="1247" w:type="dxa"/>
            <w:noWrap/>
          </w:tcPr>
          <w:p w14:paraId="48DEFC06" w14:textId="77777777" w:rsidR="00A37447" w:rsidRDefault="00A37447">
            <w:pPr>
              <w:keepNext/>
              <w:jc w:val="right"/>
            </w:pPr>
            <w:r>
              <w:rPr>
                <w:sz w:val="18"/>
              </w:rPr>
              <w:t>0,1 %</w:t>
            </w:r>
          </w:p>
        </w:tc>
        <w:tc>
          <w:tcPr>
            <w:tcW w:w="1247" w:type="dxa"/>
            <w:noWrap/>
          </w:tcPr>
          <w:p w14:paraId="2D77589C" w14:textId="77777777" w:rsidR="00A37447" w:rsidRDefault="00A37447">
            <w:pPr>
              <w:keepNext/>
              <w:jc w:val="right"/>
            </w:pPr>
            <w:r>
              <w:rPr>
                <w:sz w:val="18"/>
              </w:rPr>
              <w:t>1,1 %</w:t>
            </w:r>
          </w:p>
        </w:tc>
      </w:tr>
      <w:tr w:rsidR="00855697" w14:paraId="77CAE3D3" w14:textId="77777777">
        <w:trPr>
          <w:cantSplit/>
          <w:jc w:val="center"/>
        </w:trPr>
        <w:tc>
          <w:tcPr>
            <w:tcW w:w="2041" w:type="dxa"/>
            <w:noWrap/>
          </w:tcPr>
          <w:p w14:paraId="4A8F6B6E" w14:textId="77777777" w:rsidR="00A37447" w:rsidRDefault="00A37447">
            <w:pPr>
              <w:keepNext/>
            </w:pPr>
            <w:r>
              <w:rPr>
                <w:sz w:val="18"/>
              </w:rPr>
              <w:t>Energía nuclear</w:t>
            </w:r>
          </w:p>
        </w:tc>
        <w:tc>
          <w:tcPr>
            <w:tcW w:w="964" w:type="dxa"/>
            <w:noWrap/>
          </w:tcPr>
          <w:p w14:paraId="7B1941C2" w14:textId="77777777" w:rsidR="00A37447" w:rsidRDefault="00A37447">
            <w:pPr>
              <w:keepNext/>
              <w:jc w:val="right"/>
            </w:pPr>
            <w:r>
              <w:rPr>
                <w:sz w:val="18"/>
              </w:rPr>
              <w:t>30,6</w:t>
            </w:r>
          </w:p>
        </w:tc>
        <w:tc>
          <w:tcPr>
            <w:tcW w:w="964" w:type="dxa"/>
            <w:noWrap/>
          </w:tcPr>
          <w:p w14:paraId="12FCB7C6" w14:textId="77777777" w:rsidR="00A37447" w:rsidRDefault="00A37447">
            <w:pPr>
              <w:keepNext/>
              <w:jc w:val="right"/>
            </w:pPr>
            <w:r>
              <w:rPr>
                <w:sz w:val="18"/>
              </w:rPr>
              <w:t>29,2</w:t>
            </w:r>
          </w:p>
        </w:tc>
        <w:tc>
          <w:tcPr>
            <w:tcW w:w="964" w:type="dxa"/>
            <w:noWrap/>
          </w:tcPr>
          <w:p w14:paraId="0422E9FF" w14:textId="77777777" w:rsidR="00A37447" w:rsidRDefault="00A37447">
            <w:pPr>
              <w:keepNext/>
              <w:jc w:val="right"/>
            </w:pPr>
            <w:r>
              <w:rPr>
                <w:sz w:val="18"/>
              </w:rPr>
              <w:t>29,9</w:t>
            </w:r>
          </w:p>
        </w:tc>
        <w:tc>
          <w:tcPr>
            <w:tcW w:w="964" w:type="dxa"/>
            <w:noWrap/>
          </w:tcPr>
          <w:p w14:paraId="4A777E8E" w14:textId="77777777" w:rsidR="00A37447" w:rsidRDefault="00A37447">
            <w:pPr>
              <w:keepNext/>
              <w:jc w:val="right"/>
            </w:pPr>
            <w:r>
              <w:rPr>
                <w:sz w:val="18"/>
              </w:rPr>
              <w:t>30,7</w:t>
            </w:r>
          </w:p>
        </w:tc>
        <w:tc>
          <w:tcPr>
            <w:tcW w:w="964" w:type="dxa"/>
            <w:noWrap/>
          </w:tcPr>
          <w:p w14:paraId="653ED9C9" w14:textId="77777777" w:rsidR="00A37447" w:rsidRDefault="00A37447">
            <w:pPr>
              <w:keepNext/>
              <w:jc w:val="right"/>
            </w:pPr>
            <w:r>
              <w:rPr>
                <w:sz w:val="18"/>
              </w:rPr>
              <w:t>31,0</w:t>
            </w:r>
          </w:p>
        </w:tc>
        <w:tc>
          <w:tcPr>
            <w:tcW w:w="1247" w:type="dxa"/>
            <w:noWrap/>
          </w:tcPr>
          <w:p w14:paraId="3735E9CF" w14:textId="77777777" w:rsidR="00A37447" w:rsidRDefault="00A37447">
            <w:pPr>
              <w:keepNext/>
              <w:jc w:val="right"/>
            </w:pPr>
            <w:r>
              <w:rPr>
                <w:sz w:val="18"/>
              </w:rPr>
              <w:t>1,1 %</w:t>
            </w:r>
          </w:p>
        </w:tc>
        <w:tc>
          <w:tcPr>
            <w:tcW w:w="1247" w:type="dxa"/>
            <w:noWrap/>
          </w:tcPr>
          <w:p w14:paraId="2A57725B" w14:textId="77777777" w:rsidR="00A37447" w:rsidRDefault="00A37447">
            <w:pPr>
              <w:keepNext/>
              <w:jc w:val="right"/>
            </w:pPr>
            <w:r>
              <w:rPr>
                <w:sz w:val="18"/>
              </w:rPr>
              <w:t>0,4 %</w:t>
            </w:r>
          </w:p>
        </w:tc>
      </w:tr>
      <w:tr w:rsidR="00855697" w14:paraId="0087906A" w14:textId="77777777">
        <w:trPr>
          <w:cantSplit/>
          <w:jc w:val="center"/>
        </w:trPr>
        <w:tc>
          <w:tcPr>
            <w:tcW w:w="2041" w:type="dxa"/>
            <w:noWrap/>
          </w:tcPr>
          <w:p w14:paraId="3D92FC88" w14:textId="77777777" w:rsidR="00A37447" w:rsidRDefault="00A37447">
            <w:pPr>
              <w:keepNext/>
            </w:pPr>
            <w:r>
              <w:rPr>
                <w:b/>
                <w:sz w:val="18"/>
              </w:rPr>
              <w:t>Total</w:t>
            </w:r>
          </w:p>
        </w:tc>
        <w:tc>
          <w:tcPr>
            <w:tcW w:w="964" w:type="dxa"/>
            <w:noWrap/>
          </w:tcPr>
          <w:p w14:paraId="4AEEB004" w14:textId="77777777" w:rsidR="00A37447" w:rsidRDefault="00A37447">
            <w:pPr>
              <w:keepNext/>
              <w:jc w:val="right"/>
            </w:pPr>
            <w:r>
              <w:rPr>
                <w:b/>
                <w:sz w:val="18"/>
              </w:rPr>
              <w:t>560,4</w:t>
            </w:r>
          </w:p>
        </w:tc>
        <w:tc>
          <w:tcPr>
            <w:tcW w:w="964" w:type="dxa"/>
            <w:noWrap/>
          </w:tcPr>
          <w:p w14:paraId="41E375A6" w14:textId="77777777" w:rsidR="00A37447" w:rsidRDefault="00A37447">
            <w:pPr>
              <w:keepNext/>
              <w:jc w:val="right"/>
            </w:pPr>
            <w:r>
              <w:rPr>
                <w:b/>
                <w:sz w:val="18"/>
              </w:rPr>
              <w:t>569,0</w:t>
            </w:r>
          </w:p>
        </w:tc>
        <w:tc>
          <w:tcPr>
            <w:tcW w:w="964" w:type="dxa"/>
            <w:noWrap/>
          </w:tcPr>
          <w:p w14:paraId="4E25463C" w14:textId="77777777" w:rsidR="00A37447" w:rsidRDefault="00A37447">
            <w:pPr>
              <w:keepNext/>
              <w:jc w:val="right"/>
            </w:pPr>
            <w:r>
              <w:rPr>
                <w:b/>
                <w:sz w:val="18"/>
              </w:rPr>
              <w:t>579,6</w:t>
            </w:r>
          </w:p>
        </w:tc>
        <w:tc>
          <w:tcPr>
            <w:tcW w:w="964" w:type="dxa"/>
            <w:noWrap/>
          </w:tcPr>
          <w:p w14:paraId="070438FA" w14:textId="77777777" w:rsidR="00A37447" w:rsidRDefault="00A37447">
            <w:pPr>
              <w:keepNext/>
              <w:jc w:val="right"/>
            </w:pPr>
            <w:r>
              <w:rPr>
                <w:b/>
                <w:sz w:val="18"/>
              </w:rPr>
              <w:t>592,2</w:t>
            </w:r>
          </w:p>
        </w:tc>
        <w:tc>
          <w:tcPr>
            <w:tcW w:w="964" w:type="dxa"/>
            <w:noWrap/>
          </w:tcPr>
          <w:p w14:paraId="480A85BE" w14:textId="77777777" w:rsidR="00A37447" w:rsidRDefault="00A37447">
            <w:pPr>
              <w:keepNext/>
              <w:jc w:val="right"/>
            </w:pPr>
            <w:r>
              <w:rPr>
                <w:b/>
                <w:sz w:val="18"/>
              </w:rPr>
              <w:t>600,3</w:t>
            </w:r>
          </w:p>
        </w:tc>
        <w:tc>
          <w:tcPr>
            <w:tcW w:w="1247" w:type="dxa"/>
            <w:noWrap/>
          </w:tcPr>
          <w:p w14:paraId="56B9A955" w14:textId="77777777" w:rsidR="00A37447" w:rsidRDefault="00A37447">
            <w:pPr>
              <w:keepNext/>
              <w:jc w:val="right"/>
            </w:pPr>
            <w:r>
              <w:rPr>
                <w:b/>
                <w:sz w:val="18"/>
              </w:rPr>
              <w:t>1,4 %</w:t>
            </w:r>
          </w:p>
        </w:tc>
        <w:tc>
          <w:tcPr>
            <w:tcW w:w="1247" w:type="dxa"/>
            <w:noWrap/>
          </w:tcPr>
          <w:p w14:paraId="2BA1FD85" w14:textId="77777777" w:rsidR="00A37447" w:rsidRDefault="00A37447">
            <w:pPr>
              <w:keepNext/>
              <w:jc w:val="right"/>
            </w:pPr>
            <w:r>
              <w:rPr>
                <w:b/>
                <w:sz w:val="18"/>
              </w:rPr>
              <w:t>1,7 %</w:t>
            </w:r>
          </w:p>
        </w:tc>
      </w:tr>
    </w:tbl>
    <w:p w14:paraId="6BBBF5B7" w14:textId="77777777" w:rsidR="00A37447" w:rsidRPr="002620B6" w:rsidRDefault="00A37447">
      <w:pPr>
        <w:keepLines/>
        <w:spacing w:before="40" w:after="200"/>
        <w:jc w:val="right"/>
      </w:pPr>
      <w:r w:rsidRPr="002620B6">
        <w:rPr>
          <w:b/>
          <w:color w:val="404040"/>
          <w:sz w:val="15"/>
        </w:rPr>
        <w:t>FUENTE: Energy Institute Statistical Review of World Energy 2026</w:t>
      </w:r>
    </w:p>
    <w:p w14:paraId="24CE6B10" w14:textId="77777777" w:rsidR="00A37447" w:rsidRPr="0036111A" w:rsidRDefault="00A37447">
      <w:pPr>
        <w:pStyle w:val="Ttulo2"/>
        <w:rPr>
          <w:lang w:val="es-PE"/>
        </w:rPr>
      </w:pPr>
      <w:bookmarkStart w:id="51" w:name="_Toc235083047"/>
      <w:r w:rsidRPr="0036111A">
        <w:rPr>
          <w:lang w:val="es-PE"/>
        </w:rPr>
        <w:t>7.2. Emisiones de CO₂</w:t>
      </w:r>
      <w:bookmarkEnd w:id="51"/>
    </w:p>
    <w:p w14:paraId="1DEE1450" w14:textId="77777777" w:rsidR="00A37447" w:rsidRPr="0036111A" w:rsidRDefault="00A37447">
      <w:pPr>
        <w:keepLines/>
        <w:rPr>
          <w:lang w:val="es-PE"/>
        </w:rPr>
      </w:pPr>
      <w:r w:rsidRPr="0036111A">
        <w:rPr>
          <w:lang w:val="es-PE"/>
        </w:rPr>
        <w:t>Las emisiones globales de dióxido de carbono asociadas a la energía se mantuvieron prácticamente estables en 2025 (35.806 millones de toneladas; +1 %), en línea con el incremento ligero del consumo de combustibles fósiles. China se mantuvo como el principal emisor (11.220 millones de toneladas, 31 % del total), mientras Estados Unidos registró un incremento de 3 %, revirtiendo parte de la mejora de años previos.</w:t>
      </w:r>
    </w:p>
    <w:p w14:paraId="3EB188E3" w14:textId="2124216C" w:rsidR="00C75A27" w:rsidRDefault="00D4093E">
      <w:pPr>
        <w:spacing w:before="160"/>
        <w:jc w:val="center"/>
      </w:pPr>
      <w:r>
        <w:rPr>
          <w:noProof/>
        </w:rPr>
        <w:drawing>
          <wp:inline distT="0" distB="0" distL="0" distR="0" wp14:anchorId="72F77A6C" wp14:editId="1B20700E">
            <wp:extent cx="4320000" cy="2713209"/>
            <wp:effectExtent l="0" t="0" r="0" b="0"/>
            <wp:docPr id="2110891835" name="Imagen 2110891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07.png"/>
                    <pic:cNvPicPr/>
                  </pic:nvPicPr>
                  <pic:blipFill>
                    <a:blip r:embed="rId118"/>
                    <a:stretch>
                      <a:fillRect/>
                    </a:stretch>
                  </pic:blipFill>
                  <pic:spPr>
                    <a:xfrm>
                      <a:off x="0" y="0"/>
                      <a:ext cx="4320000" cy="2713209"/>
                    </a:xfrm>
                    <a:prstGeom prst="rect">
                      <a:avLst/>
                    </a:prstGeom>
                  </pic:spPr>
                </pic:pic>
              </a:graphicData>
            </a:graphic>
          </wp:inline>
        </w:drawing>
      </w:r>
    </w:p>
    <w:p w14:paraId="3BDD34EC" w14:textId="0222F538" w:rsidR="00C75A27" w:rsidRDefault="00D4093E">
      <w:pPr>
        <w:spacing w:before="160"/>
        <w:jc w:val="center"/>
      </w:pPr>
      <w:r>
        <w:rPr>
          <w:noProof/>
        </w:rPr>
        <w:lastRenderedPageBreak/>
        <w:drawing>
          <wp:inline distT="0" distB="0" distL="0" distR="0" wp14:anchorId="46779570" wp14:editId="74ACC70C">
            <wp:extent cx="4320000" cy="2710467"/>
            <wp:effectExtent l="0" t="0" r="0" b="0"/>
            <wp:docPr id="2110891836" name="Imagen 211089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08.png"/>
                    <pic:cNvPicPr/>
                  </pic:nvPicPr>
                  <pic:blipFill>
                    <a:blip r:embed="rId119"/>
                    <a:stretch>
                      <a:fillRect/>
                    </a:stretch>
                  </pic:blipFill>
                  <pic:spPr>
                    <a:xfrm>
                      <a:off x="0" y="0"/>
                      <a:ext cx="4320000" cy="2710467"/>
                    </a:xfrm>
                    <a:prstGeom prst="rect">
                      <a:avLst/>
                    </a:prstGeom>
                  </pic:spPr>
                </pic:pic>
              </a:graphicData>
            </a:graphic>
          </wp:inline>
        </w:drawing>
      </w:r>
    </w:p>
    <w:p w14:paraId="518E1030" w14:textId="29FB6133" w:rsidR="00A37447" w:rsidRDefault="00A37447">
      <w:pPr>
        <w:spacing w:before="160"/>
        <w:jc w:val="center"/>
      </w:pPr>
    </w:p>
    <w:p w14:paraId="1BBC6D1E" w14:textId="77777777" w:rsidR="00A37447" w:rsidRDefault="00A37447">
      <w:pPr>
        <w:spacing w:before="160"/>
        <w:jc w:val="center"/>
      </w:pPr>
      <w:r>
        <w:rPr>
          <w:noProof/>
        </w:rPr>
        <w:drawing>
          <wp:inline distT="0" distB="0" distL="0" distR="0" wp14:anchorId="235CFDA3" wp14:editId="417B2DCE">
            <wp:extent cx="5400000" cy="3246258"/>
            <wp:effectExtent l="0" t="0" r="0" b="0"/>
            <wp:docPr id="90120" name="Picture 9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09.png"/>
                    <pic:cNvPicPr/>
                  </pic:nvPicPr>
                  <pic:blipFill>
                    <a:blip r:embed="rId120"/>
                    <a:stretch>
                      <a:fillRect/>
                    </a:stretch>
                  </pic:blipFill>
                  <pic:spPr>
                    <a:xfrm>
                      <a:off x="0" y="0"/>
                      <a:ext cx="5400000" cy="3246258"/>
                    </a:xfrm>
                    <a:prstGeom prst="rect">
                      <a:avLst/>
                    </a:prstGeom>
                  </pic:spPr>
                </pic:pic>
              </a:graphicData>
            </a:graphic>
          </wp:inline>
        </w:drawing>
      </w:r>
    </w:p>
    <w:p w14:paraId="26B2E886" w14:textId="77777777" w:rsidR="00A37447" w:rsidRDefault="00A37447">
      <w:pPr>
        <w:spacing w:after="80"/>
      </w:pPr>
    </w:p>
    <w:p w14:paraId="388F213D" w14:textId="77777777" w:rsidR="00A37447" w:rsidRPr="0036111A" w:rsidRDefault="00A37447">
      <w:pPr>
        <w:pStyle w:val="Ttulo2"/>
        <w:rPr>
          <w:lang w:val="es-PE"/>
        </w:rPr>
      </w:pPr>
      <w:bookmarkStart w:id="52" w:name="_Toc235083048"/>
      <w:r w:rsidRPr="0036111A">
        <w:rPr>
          <w:lang w:val="es-PE"/>
        </w:rPr>
        <w:t>7.3. Reservas de gas natural</w:t>
      </w:r>
      <w:bookmarkEnd w:id="52"/>
    </w:p>
    <w:p w14:paraId="65FB02B7" w14:textId="77777777" w:rsidR="00A37447" w:rsidRPr="0036111A" w:rsidRDefault="00A37447">
      <w:pPr>
        <w:keepLines/>
        <w:rPr>
          <w:lang w:val="es-PE"/>
        </w:rPr>
      </w:pPr>
      <w:r w:rsidRPr="0036111A">
        <w:rPr>
          <w:lang w:val="es-PE"/>
        </w:rPr>
        <w:t>Al igual que en ediciones anteriores, no se han publicado datos oficiales de reservas probadas posteriores a 2020. A ese año, las mayores reservas de gas natural se ubicaban en Rusia, Irán y Catar, que en conjunto concentraban cerca de la mitad del total mundial. En la región, Venezuela mantenía aproximadamente 80 % de las reservas de Sur y Centroamérica (3 % del total mundial).</w:t>
      </w:r>
    </w:p>
    <w:p w14:paraId="30440E03" w14:textId="122615AD" w:rsidR="00C75A27" w:rsidRDefault="00D4093E">
      <w:pPr>
        <w:spacing w:before="160"/>
        <w:jc w:val="center"/>
      </w:pPr>
      <w:r>
        <w:rPr>
          <w:noProof/>
        </w:rPr>
        <w:lastRenderedPageBreak/>
        <w:drawing>
          <wp:inline distT="0" distB="0" distL="0" distR="0" wp14:anchorId="2D991EA4" wp14:editId="66393525">
            <wp:extent cx="4320000" cy="2849957"/>
            <wp:effectExtent l="0" t="0" r="0" b="0"/>
            <wp:docPr id="2110891837" name="Imagen 211089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10.png"/>
                    <pic:cNvPicPr/>
                  </pic:nvPicPr>
                  <pic:blipFill>
                    <a:blip r:embed="rId121"/>
                    <a:stretch>
                      <a:fillRect/>
                    </a:stretch>
                  </pic:blipFill>
                  <pic:spPr>
                    <a:xfrm>
                      <a:off x="0" y="0"/>
                      <a:ext cx="4320000" cy="2849957"/>
                    </a:xfrm>
                    <a:prstGeom prst="rect">
                      <a:avLst/>
                    </a:prstGeom>
                  </pic:spPr>
                </pic:pic>
              </a:graphicData>
            </a:graphic>
          </wp:inline>
        </w:drawing>
      </w:r>
    </w:p>
    <w:p w14:paraId="3DDA5F7C" w14:textId="5A1A4765" w:rsidR="00C75A27" w:rsidRDefault="00D4093E">
      <w:pPr>
        <w:spacing w:before="160"/>
        <w:jc w:val="center"/>
      </w:pPr>
      <w:r>
        <w:rPr>
          <w:noProof/>
        </w:rPr>
        <w:drawing>
          <wp:inline distT="0" distB="0" distL="0" distR="0" wp14:anchorId="3BB8B5CB" wp14:editId="3822EF0F">
            <wp:extent cx="4320000" cy="2710467"/>
            <wp:effectExtent l="0" t="0" r="0" b="0"/>
            <wp:docPr id="2110891838" name="Imagen 211089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11.png"/>
                    <pic:cNvPicPr/>
                  </pic:nvPicPr>
                  <pic:blipFill>
                    <a:blip r:embed="rId122"/>
                    <a:stretch>
                      <a:fillRect/>
                    </a:stretch>
                  </pic:blipFill>
                  <pic:spPr>
                    <a:xfrm>
                      <a:off x="0" y="0"/>
                      <a:ext cx="4320000" cy="2710467"/>
                    </a:xfrm>
                    <a:prstGeom prst="rect">
                      <a:avLst/>
                    </a:prstGeom>
                  </pic:spPr>
                </pic:pic>
              </a:graphicData>
            </a:graphic>
          </wp:inline>
        </w:drawing>
      </w:r>
    </w:p>
    <w:p w14:paraId="69A41359" w14:textId="28C0A4AE" w:rsidR="00A37447" w:rsidRDefault="00A37447">
      <w:pPr>
        <w:spacing w:before="160"/>
        <w:jc w:val="center"/>
      </w:pPr>
    </w:p>
    <w:p w14:paraId="67EEE0B4" w14:textId="77777777" w:rsidR="00A37447" w:rsidRDefault="00A37447">
      <w:pPr>
        <w:spacing w:before="160"/>
        <w:jc w:val="center"/>
      </w:pPr>
      <w:r>
        <w:rPr>
          <w:noProof/>
        </w:rPr>
        <w:lastRenderedPageBreak/>
        <w:drawing>
          <wp:inline distT="0" distB="0" distL="0" distR="0" wp14:anchorId="2F39E2C6" wp14:editId="5ABD94FA">
            <wp:extent cx="5400000" cy="3066269"/>
            <wp:effectExtent l="0" t="0" r="0" b="0"/>
            <wp:docPr id="90123" name="Picture 9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12.png"/>
                    <pic:cNvPicPr/>
                  </pic:nvPicPr>
                  <pic:blipFill>
                    <a:blip r:embed="rId123"/>
                    <a:stretch>
                      <a:fillRect/>
                    </a:stretch>
                  </pic:blipFill>
                  <pic:spPr>
                    <a:xfrm>
                      <a:off x="0" y="0"/>
                      <a:ext cx="5400000" cy="3066269"/>
                    </a:xfrm>
                    <a:prstGeom prst="rect">
                      <a:avLst/>
                    </a:prstGeom>
                  </pic:spPr>
                </pic:pic>
              </a:graphicData>
            </a:graphic>
          </wp:inline>
        </w:drawing>
      </w:r>
    </w:p>
    <w:p w14:paraId="522F3F5E" w14:textId="77777777" w:rsidR="00A37447" w:rsidRDefault="00A37447">
      <w:pPr>
        <w:keepNext/>
        <w:spacing w:after="80"/>
      </w:pPr>
    </w:p>
    <w:p w14:paraId="799EDB27" w14:textId="77777777" w:rsidR="00A37447" w:rsidRPr="0036111A" w:rsidRDefault="00A37447">
      <w:pPr>
        <w:keepNext/>
        <w:keepLines/>
        <w:rPr>
          <w:lang w:val="es-PE"/>
        </w:rPr>
      </w:pPr>
      <w:r w:rsidRPr="0036111A">
        <w:rPr>
          <w:b/>
          <w:color w:val="15607F"/>
          <w:lang w:val="es-PE"/>
        </w:rPr>
        <w:t>RESERVAS PROBADAS DE GAS NATURAL POR PAÍS</w:t>
      </w:r>
    </w:p>
    <w:p w14:paraId="5E4A577C" w14:textId="77777777" w:rsidR="00A37447" w:rsidRPr="0036111A" w:rsidRDefault="00A37447">
      <w:pPr>
        <w:keepNext/>
        <w:keepLines/>
        <w:rPr>
          <w:lang w:val="es-PE"/>
        </w:rPr>
      </w:pPr>
      <w:r w:rsidRPr="0036111A">
        <w:rPr>
          <w:i/>
          <w:color w:val="595959"/>
          <w:sz w:val="18"/>
          <w:lang w:val="es-PE"/>
        </w:rPr>
        <w:t>Billones de pies cúbicos (Tpc), al cierre de 2020</w:t>
      </w:r>
    </w:p>
    <w:tbl>
      <w:tblPr>
        <w:tblStyle w:val="Tablaconcuadrcula"/>
        <w:tblW w:w="0" w:type="auto"/>
        <w:jc w:val="center"/>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402"/>
        <w:gridCol w:w="2551"/>
        <w:gridCol w:w="2551"/>
      </w:tblGrid>
      <w:tr w:rsidR="00855697" w14:paraId="1423E24F" w14:textId="77777777">
        <w:trPr>
          <w:cantSplit/>
          <w:tblHeader/>
          <w:jc w:val="center"/>
        </w:trPr>
        <w:tc>
          <w:tcPr>
            <w:tcW w:w="3402" w:type="dxa"/>
            <w:shd w:val="clear" w:color="auto" w:fill="1F3864"/>
            <w:noWrap/>
          </w:tcPr>
          <w:p w14:paraId="650B14AC" w14:textId="77777777" w:rsidR="00A37447" w:rsidRDefault="00A37447">
            <w:pPr>
              <w:keepNext/>
            </w:pPr>
            <w:r>
              <w:rPr>
                <w:b/>
                <w:color w:val="FFFFFF"/>
                <w:sz w:val="18"/>
              </w:rPr>
              <w:t>País</w:t>
            </w:r>
          </w:p>
        </w:tc>
        <w:tc>
          <w:tcPr>
            <w:tcW w:w="2551" w:type="dxa"/>
            <w:shd w:val="clear" w:color="auto" w:fill="1F3864"/>
            <w:noWrap/>
          </w:tcPr>
          <w:p w14:paraId="75250883" w14:textId="77777777" w:rsidR="00A37447" w:rsidRDefault="00A37447">
            <w:pPr>
              <w:keepNext/>
              <w:jc w:val="right"/>
            </w:pPr>
            <w:r>
              <w:rPr>
                <w:b/>
                <w:color w:val="FFFFFF"/>
                <w:sz w:val="18"/>
              </w:rPr>
              <w:t>Reservas (Tpc)</w:t>
            </w:r>
          </w:p>
        </w:tc>
        <w:tc>
          <w:tcPr>
            <w:tcW w:w="2551" w:type="dxa"/>
            <w:shd w:val="clear" w:color="auto" w:fill="1F3864"/>
            <w:noWrap/>
          </w:tcPr>
          <w:p w14:paraId="28C4775D" w14:textId="77777777" w:rsidR="00A37447" w:rsidRDefault="00A37447">
            <w:pPr>
              <w:keepNext/>
              <w:jc w:val="right"/>
            </w:pPr>
            <w:r>
              <w:rPr>
                <w:b/>
                <w:color w:val="FFFFFF"/>
                <w:sz w:val="18"/>
              </w:rPr>
              <w:t>% del total</w:t>
            </w:r>
          </w:p>
        </w:tc>
      </w:tr>
      <w:tr w:rsidR="00855697" w14:paraId="17D72653" w14:textId="77777777">
        <w:trPr>
          <w:cantSplit/>
          <w:jc w:val="center"/>
        </w:trPr>
        <w:tc>
          <w:tcPr>
            <w:tcW w:w="3402" w:type="dxa"/>
            <w:noWrap/>
          </w:tcPr>
          <w:p w14:paraId="3FADBB07" w14:textId="77777777" w:rsidR="00A37447" w:rsidRDefault="00A37447">
            <w:pPr>
              <w:keepNext/>
            </w:pPr>
            <w:r>
              <w:rPr>
                <w:sz w:val="18"/>
              </w:rPr>
              <w:t>Rusia</w:t>
            </w:r>
          </w:p>
        </w:tc>
        <w:tc>
          <w:tcPr>
            <w:tcW w:w="2551" w:type="dxa"/>
            <w:noWrap/>
          </w:tcPr>
          <w:p w14:paraId="06ECDC94" w14:textId="77777777" w:rsidR="00A37447" w:rsidRDefault="00A37447">
            <w:pPr>
              <w:keepNext/>
              <w:jc w:val="right"/>
            </w:pPr>
            <w:r>
              <w:rPr>
                <w:sz w:val="18"/>
              </w:rPr>
              <w:t>1.320</w:t>
            </w:r>
          </w:p>
        </w:tc>
        <w:tc>
          <w:tcPr>
            <w:tcW w:w="2551" w:type="dxa"/>
            <w:noWrap/>
          </w:tcPr>
          <w:p w14:paraId="47D6D5DC" w14:textId="77777777" w:rsidR="00A37447" w:rsidRDefault="00A37447">
            <w:pPr>
              <w:keepNext/>
              <w:jc w:val="right"/>
            </w:pPr>
            <w:r>
              <w:rPr>
                <w:sz w:val="18"/>
              </w:rPr>
              <w:t>19,9 %</w:t>
            </w:r>
          </w:p>
        </w:tc>
      </w:tr>
      <w:tr w:rsidR="00855697" w14:paraId="62058DA4" w14:textId="77777777">
        <w:trPr>
          <w:cantSplit/>
          <w:jc w:val="center"/>
        </w:trPr>
        <w:tc>
          <w:tcPr>
            <w:tcW w:w="3402" w:type="dxa"/>
            <w:noWrap/>
          </w:tcPr>
          <w:p w14:paraId="33E609FB" w14:textId="77777777" w:rsidR="00A37447" w:rsidRDefault="00A37447">
            <w:pPr>
              <w:keepNext/>
            </w:pPr>
            <w:r>
              <w:rPr>
                <w:sz w:val="18"/>
              </w:rPr>
              <w:t>Irán</w:t>
            </w:r>
          </w:p>
        </w:tc>
        <w:tc>
          <w:tcPr>
            <w:tcW w:w="2551" w:type="dxa"/>
            <w:noWrap/>
          </w:tcPr>
          <w:p w14:paraId="1B19B522" w14:textId="77777777" w:rsidR="00A37447" w:rsidRDefault="00A37447">
            <w:pPr>
              <w:keepNext/>
              <w:jc w:val="right"/>
            </w:pPr>
            <w:r>
              <w:rPr>
                <w:sz w:val="18"/>
              </w:rPr>
              <w:t>1.134</w:t>
            </w:r>
          </w:p>
        </w:tc>
        <w:tc>
          <w:tcPr>
            <w:tcW w:w="2551" w:type="dxa"/>
            <w:noWrap/>
          </w:tcPr>
          <w:p w14:paraId="44468FC0" w14:textId="77777777" w:rsidR="00A37447" w:rsidRDefault="00A37447">
            <w:pPr>
              <w:keepNext/>
              <w:jc w:val="right"/>
            </w:pPr>
            <w:r>
              <w:rPr>
                <w:sz w:val="18"/>
              </w:rPr>
              <w:t>17,1 %</w:t>
            </w:r>
          </w:p>
        </w:tc>
      </w:tr>
      <w:tr w:rsidR="00855697" w14:paraId="75C4369E" w14:textId="77777777">
        <w:trPr>
          <w:cantSplit/>
          <w:jc w:val="center"/>
        </w:trPr>
        <w:tc>
          <w:tcPr>
            <w:tcW w:w="3402" w:type="dxa"/>
            <w:noWrap/>
          </w:tcPr>
          <w:p w14:paraId="0A17C511" w14:textId="77777777" w:rsidR="00A37447" w:rsidRDefault="00A37447">
            <w:pPr>
              <w:keepNext/>
            </w:pPr>
            <w:r>
              <w:rPr>
                <w:sz w:val="18"/>
              </w:rPr>
              <w:t>Catar</w:t>
            </w:r>
          </w:p>
        </w:tc>
        <w:tc>
          <w:tcPr>
            <w:tcW w:w="2551" w:type="dxa"/>
            <w:noWrap/>
          </w:tcPr>
          <w:p w14:paraId="4CEFD3A6" w14:textId="77777777" w:rsidR="00A37447" w:rsidRDefault="00A37447">
            <w:pPr>
              <w:keepNext/>
              <w:jc w:val="right"/>
            </w:pPr>
            <w:r>
              <w:rPr>
                <w:sz w:val="18"/>
              </w:rPr>
              <w:t>871</w:t>
            </w:r>
          </w:p>
        </w:tc>
        <w:tc>
          <w:tcPr>
            <w:tcW w:w="2551" w:type="dxa"/>
            <w:noWrap/>
          </w:tcPr>
          <w:p w14:paraId="2797632B" w14:textId="77777777" w:rsidR="00A37447" w:rsidRDefault="00A37447">
            <w:pPr>
              <w:keepNext/>
              <w:jc w:val="right"/>
            </w:pPr>
            <w:r>
              <w:rPr>
                <w:sz w:val="18"/>
              </w:rPr>
              <w:t>13,1 %</w:t>
            </w:r>
          </w:p>
        </w:tc>
      </w:tr>
      <w:tr w:rsidR="00855697" w14:paraId="3EC71EBC" w14:textId="77777777">
        <w:trPr>
          <w:cantSplit/>
          <w:jc w:val="center"/>
        </w:trPr>
        <w:tc>
          <w:tcPr>
            <w:tcW w:w="3402" w:type="dxa"/>
            <w:noWrap/>
          </w:tcPr>
          <w:p w14:paraId="03704EFA" w14:textId="77777777" w:rsidR="00A37447" w:rsidRDefault="00A37447">
            <w:pPr>
              <w:keepNext/>
            </w:pPr>
            <w:r>
              <w:rPr>
                <w:sz w:val="18"/>
              </w:rPr>
              <w:t>Turkmenistán</w:t>
            </w:r>
          </w:p>
        </w:tc>
        <w:tc>
          <w:tcPr>
            <w:tcW w:w="2551" w:type="dxa"/>
            <w:noWrap/>
          </w:tcPr>
          <w:p w14:paraId="06927ECD" w14:textId="77777777" w:rsidR="00A37447" w:rsidRDefault="00A37447">
            <w:pPr>
              <w:keepNext/>
              <w:jc w:val="right"/>
            </w:pPr>
            <w:r>
              <w:rPr>
                <w:sz w:val="18"/>
              </w:rPr>
              <w:t>480</w:t>
            </w:r>
          </w:p>
        </w:tc>
        <w:tc>
          <w:tcPr>
            <w:tcW w:w="2551" w:type="dxa"/>
            <w:noWrap/>
          </w:tcPr>
          <w:p w14:paraId="3D1737DE" w14:textId="77777777" w:rsidR="00A37447" w:rsidRDefault="00A37447">
            <w:pPr>
              <w:keepNext/>
              <w:jc w:val="right"/>
            </w:pPr>
            <w:r>
              <w:rPr>
                <w:sz w:val="18"/>
              </w:rPr>
              <w:t>7,2 %</w:t>
            </w:r>
          </w:p>
        </w:tc>
      </w:tr>
      <w:tr w:rsidR="00855697" w14:paraId="723F2C72" w14:textId="77777777">
        <w:trPr>
          <w:cantSplit/>
          <w:jc w:val="center"/>
        </w:trPr>
        <w:tc>
          <w:tcPr>
            <w:tcW w:w="3402" w:type="dxa"/>
            <w:noWrap/>
          </w:tcPr>
          <w:p w14:paraId="77F2D907" w14:textId="77777777" w:rsidR="00A37447" w:rsidRDefault="00A37447">
            <w:pPr>
              <w:keepNext/>
            </w:pPr>
            <w:r>
              <w:rPr>
                <w:sz w:val="18"/>
              </w:rPr>
              <w:t>Estados Unidos</w:t>
            </w:r>
          </w:p>
        </w:tc>
        <w:tc>
          <w:tcPr>
            <w:tcW w:w="2551" w:type="dxa"/>
            <w:noWrap/>
          </w:tcPr>
          <w:p w14:paraId="3A7CCD5E" w14:textId="77777777" w:rsidR="00A37447" w:rsidRDefault="00A37447">
            <w:pPr>
              <w:keepNext/>
              <w:jc w:val="right"/>
            </w:pPr>
            <w:r>
              <w:rPr>
                <w:sz w:val="18"/>
              </w:rPr>
              <w:t>446</w:t>
            </w:r>
          </w:p>
        </w:tc>
        <w:tc>
          <w:tcPr>
            <w:tcW w:w="2551" w:type="dxa"/>
            <w:noWrap/>
          </w:tcPr>
          <w:p w14:paraId="60DF514F" w14:textId="77777777" w:rsidR="00A37447" w:rsidRDefault="00A37447">
            <w:pPr>
              <w:keepNext/>
              <w:jc w:val="right"/>
            </w:pPr>
            <w:r>
              <w:rPr>
                <w:sz w:val="18"/>
              </w:rPr>
              <w:t>6,7 %</w:t>
            </w:r>
          </w:p>
        </w:tc>
      </w:tr>
      <w:tr w:rsidR="00855697" w14:paraId="464EA68E" w14:textId="77777777">
        <w:trPr>
          <w:cantSplit/>
          <w:jc w:val="center"/>
        </w:trPr>
        <w:tc>
          <w:tcPr>
            <w:tcW w:w="3402" w:type="dxa"/>
            <w:noWrap/>
          </w:tcPr>
          <w:p w14:paraId="7C990F11" w14:textId="77777777" w:rsidR="00A37447" w:rsidRDefault="00A37447">
            <w:pPr>
              <w:keepNext/>
            </w:pPr>
            <w:r>
              <w:rPr>
                <w:sz w:val="18"/>
              </w:rPr>
              <w:t>China</w:t>
            </w:r>
          </w:p>
        </w:tc>
        <w:tc>
          <w:tcPr>
            <w:tcW w:w="2551" w:type="dxa"/>
            <w:noWrap/>
          </w:tcPr>
          <w:p w14:paraId="16E3F08C" w14:textId="77777777" w:rsidR="00A37447" w:rsidRDefault="00A37447">
            <w:pPr>
              <w:keepNext/>
              <w:jc w:val="right"/>
            </w:pPr>
            <w:r>
              <w:rPr>
                <w:sz w:val="18"/>
              </w:rPr>
              <w:t>297</w:t>
            </w:r>
          </w:p>
        </w:tc>
        <w:tc>
          <w:tcPr>
            <w:tcW w:w="2551" w:type="dxa"/>
            <w:noWrap/>
          </w:tcPr>
          <w:p w14:paraId="418FD798" w14:textId="77777777" w:rsidR="00A37447" w:rsidRDefault="00A37447">
            <w:pPr>
              <w:keepNext/>
              <w:jc w:val="right"/>
            </w:pPr>
            <w:r>
              <w:rPr>
                <w:sz w:val="18"/>
              </w:rPr>
              <w:t>4,5 %</w:t>
            </w:r>
          </w:p>
        </w:tc>
      </w:tr>
      <w:tr w:rsidR="00855697" w14:paraId="37546D0B" w14:textId="77777777">
        <w:trPr>
          <w:cantSplit/>
          <w:jc w:val="center"/>
        </w:trPr>
        <w:tc>
          <w:tcPr>
            <w:tcW w:w="3402" w:type="dxa"/>
            <w:noWrap/>
          </w:tcPr>
          <w:p w14:paraId="5258623D" w14:textId="77777777" w:rsidR="00A37447" w:rsidRDefault="00A37447">
            <w:pPr>
              <w:keepNext/>
            </w:pPr>
            <w:r>
              <w:rPr>
                <w:sz w:val="18"/>
              </w:rPr>
              <w:t>Venezuela</w:t>
            </w:r>
          </w:p>
        </w:tc>
        <w:tc>
          <w:tcPr>
            <w:tcW w:w="2551" w:type="dxa"/>
            <w:noWrap/>
          </w:tcPr>
          <w:p w14:paraId="23BD9108" w14:textId="77777777" w:rsidR="00A37447" w:rsidRDefault="00A37447">
            <w:pPr>
              <w:keepNext/>
              <w:jc w:val="right"/>
            </w:pPr>
            <w:r>
              <w:rPr>
                <w:sz w:val="18"/>
              </w:rPr>
              <w:t>221</w:t>
            </w:r>
          </w:p>
        </w:tc>
        <w:tc>
          <w:tcPr>
            <w:tcW w:w="2551" w:type="dxa"/>
            <w:noWrap/>
          </w:tcPr>
          <w:p w14:paraId="3A71B5B3" w14:textId="77777777" w:rsidR="00A37447" w:rsidRDefault="00A37447">
            <w:pPr>
              <w:keepNext/>
              <w:jc w:val="right"/>
            </w:pPr>
            <w:r>
              <w:rPr>
                <w:sz w:val="18"/>
              </w:rPr>
              <w:t>3,3 %</w:t>
            </w:r>
          </w:p>
        </w:tc>
      </w:tr>
      <w:tr w:rsidR="00855697" w14:paraId="764D11E1" w14:textId="77777777">
        <w:trPr>
          <w:cantSplit/>
          <w:jc w:val="center"/>
        </w:trPr>
        <w:tc>
          <w:tcPr>
            <w:tcW w:w="3402" w:type="dxa"/>
            <w:noWrap/>
          </w:tcPr>
          <w:p w14:paraId="3CE810BE" w14:textId="77777777" w:rsidR="00A37447" w:rsidRDefault="00A37447">
            <w:pPr>
              <w:keepNext/>
            </w:pPr>
            <w:r>
              <w:rPr>
                <w:sz w:val="18"/>
              </w:rPr>
              <w:t>Arabia Saudita</w:t>
            </w:r>
          </w:p>
        </w:tc>
        <w:tc>
          <w:tcPr>
            <w:tcW w:w="2551" w:type="dxa"/>
            <w:noWrap/>
          </w:tcPr>
          <w:p w14:paraId="2DD72962" w14:textId="77777777" w:rsidR="00A37447" w:rsidRDefault="00A37447">
            <w:pPr>
              <w:keepNext/>
              <w:jc w:val="right"/>
            </w:pPr>
            <w:r>
              <w:rPr>
                <w:sz w:val="18"/>
              </w:rPr>
              <w:t>213</w:t>
            </w:r>
          </w:p>
        </w:tc>
        <w:tc>
          <w:tcPr>
            <w:tcW w:w="2551" w:type="dxa"/>
            <w:noWrap/>
          </w:tcPr>
          <w:p w14:paraId="325B5EB5" w14:textId="77777777" w:rsidR="00A37447" w:rsidRDefault="00A37447">
            <w:pPr>
              <w:keepNext/>
              <w:jc w:val="right"/>
            </w:pPr>
            <w:r>
              <w:rPr>
                <w:sz w:val="18"/>
              </w:rPr>
              <w:t>3,2 %</w:t>
            </w:r>
          </w:p>
        </w:tc>
      </w:tr>
      <w:tr w:rsidR="00855697" w14:paraId="6D4DB727" w14:textId="77777777">
        <w:trPr>
          <w:cantSplit/>
          <w:jc w:val="center"/>
        </w:trPr>
        <w:tc>
          <w:tcPr>
            <w:tcW w:w="3402" w:type="dxa"/>
            <w:noWrap/>
          </w:tcPr>
          <w:p w14:paraId="05B3D390" w14:textId="77777777" w:rsidR="00A37447" w:rsidRDefault="00A37447">
            <w:pPr>
              <w:keepNext/>
            </w:pPr>
            <w:r>
              <w:rPr>
                <w:sz w:val="18"/>
              </w:rPr>
              <w:t>Resto del mundo</w:t>
            </w:r>
          </w:p>
        </w:tc>
        <w:tc>
          <w:tcPr>
            <w:tcW w:w="2551" w:type="dxa"/>
            <w:noWrap/>
          </w:tcPr>
          <w:p w14:paraId="5EC7E14D" w14:textId="77777777" w:rsidR="00A37447" w:rsidRDefault="00A37447">
            <w:pPr>
              <w:keepNext/>
              <w:jc w:val="right"/>
            </w:pPr>
            <w:r>
              <w:rPr>
                <w:sz w:val="18"/>
              </w:rPr>
              <w:t>1.660</w:t>
            </w:r>
          </w:p>
        </w:tc>
        <w:tc>
          <w:tcPr>
            <w:tcW w:w="2551" w:type="dxa"/>
            <w:noWrap/>
          </w:tcPr>
          <w:p w14:paraId="351B2456" w14:textId="77777777" w:rsidR="00A37447" w:rsidRDefault="00A37447">
            <w:pPr>
              <w:keepNext/>
              <w:jc w:val="right"/>
            </w:pPr>
            <w:r>
              <w:rPr>
                <w:sz w:val="18"/>
              </w:rPr>
              <w:t>25,0 %</w:t>
            </w:r>
          </w:p>
        </w:tc>
      </w:tr>
      <w:tr w:rsidR="00855697" w14:paraId="5BB85E51" w14:textId="77777777">
        <w:trPr>
          <w:cantSplit/>
          <w:jc w:val="center"/>
        </w:trPr>
        <w:tc>
          <w:tcPr>
            <w:tcW w:w="3402" w:type="dxa"/>
            <w:noWrap/>
          </w:tcPr>
          <w:p w14:paraId="5978510C" w14:textId="77777777" w:rsidR="00A37447" w:rsidRDefault="00A37447">
            <w:pPr>
              <w:keepNext/>
            </w:pPr>
            <w:r>
              <w:rPr>
                <w:b/>
                <w:sz w:val="18"/>
              </w:rPr>
              <w:t>Total mundial</w:t>
            </w:r>
          </w:p>
        </w:tc>
        <w:tc>
          <w:tcPr>
            <w:tcW w:w="2551" w:type="dxa"/>
            <w:noWrap/>
          </w:tcPr>
          <w:p w14:paraId="77CA1931" w14:textId="77777777" w:rsidR="00A37447" w:rsidRDefault="00A37447">
            <w:pPr>
              <w:keepNext/>
              <w:jc w:val="right"/>
            </w:pPr>
            <w:r>
              <w:rPr>
                <w:b/>
                <w:sz w:val="18"/>
              </w:rPr>
              <w:t>6.642</w:t>
            </w:r>
          </w:p>
        </w:tc>
        <w:tc>
          <w:tcPr>
            <w:tcW w:w="2551" w:type="dxa"/>
            <w:noWrap/>
          </w:tcPr>
          <w:p w14:paraId="1F3552DB" w14:textId="77777777" w:rsidR="00A37447" w:rsidRDefault="00A37447">
            <w:pPr>
              <w:keepNext/>
              <w:jc w:val="right"/>
            </w:pPr>
            <w:r>
              <w:rPr>
                <w:b/>
                <w:sz w:val="18"/>
              </w:rPr>
              <w:t>100,0 %</w:t>
            </w:r>
          </w:p>
        </w:tc>
      </w:tr>
    </w:tbl>
    <w:p w14:paraId="4B07438F" w14:textId="77777777" w:rsidR="00A37447" w:rsidRPr="0036111A" w:rsidRDefault="00A37447">
      <w:pPr>
        <w:keepNext/>
        <w:keepLines/>
        <w:rPr>
          <w:lang w:val="es-PE"/>
        </w:rPr>
      </w:pPr>
      <w:r w:rsidRPr="0036111A">
        <w:rPr>
          <w:i/>
          <w:color w:val="595959"/>
          <w:sz w:val="15"/>
          <w:lang w:val="es-PE"/>
        </w:rPr>
        <w:t>Última actualización de reservas publicada por el Energy Institute (2020).</w:t>
      </w:r>
    </w:p>
    <w:p w14:paraId="70B7A1A2" w14:textId="77777777" w:rsidR="00A37447" w:rsidRPr="002620B6" w:rsidRDefault="00A37447">
      <w:pPr>
        <w:keepLines/>
        <w:spacing w:before="40" w:after="200"/>
        <w:jc w:val="right"/>
      </w:pPr>
      <w:r w:rsidRPr="002620B6">
        <w:rPr>
          <w:b/>
          <w:color w:val="404040"/>
          <w:sz w:val="15"/>
        </w:rPr>
        <w:t>FUENTE: Energy Institute Statistical Review of World Energy 2026</w:t>
      </w:r>
    </w:p>
    <w:p w14:paraId="4FC0B824" w14:textId="77777777" w:rsidR="00A37447" w:rsidRPr="0036111A" w:rsidRDefault="00A37447">
      <w:pPr>
        <w:pStyle w:val="Ttulo2"/>
        <w:rPr>
          <w:lang w:val="es-PE"/>
        </w:rPr>
      </w:pPr>
      <w:bookmarkStart w:id="53" w:name="_Toc235083049"/>
      <w:r w:rsidRPr="0036111A">
        <w:rPr>
          <w:lang w:val="es-PE"/>
        </w:rPr>
        <w:t>7.4. Producción de gas natural</w:t>
      </w:r>
      <w:bookmarkEnd w:id="53"/>
    </w:p>
    <w:p w14:paraId="2F651352" w14:textId="77777777" w:rsidR="00A37447" w:rsidRPr="0036111A" w:rsidRDefault="00A37447">
      <w:pPr>
        <w:keepLines/>
        <w:rPr>
          <w:lang w:val="es-PE"/>
        </w:rPr>
      </w:pPr>
      <w:r w:rsidRPr="0036111A">
        <w:rPr>
          <w:lang w:val="es-PE"/>
        </w:rPr>
        <w:t>La producción mundial de gas natural creció 1,3 % en 2025, hasta 406 mil millones de pies cúbicos diarios, liderada nuevamente por Estados Unidos (niveles históricos, apuntalados por la demanda de sus plantas de licuefacción), seguido de Rusia e Irán. En Sur y Centroamérica, la producción regional se sostuvo en el desarrollo de Vaca Muerta, que llevó la producción argentina a nuevos máximos, mientras Bolivia y Colombia prolongaron su declinación estructural.</w:t>
      </w:r>
    </w:p>
    <w:p w14:paraId="53A30D40" w14:textId="77777777" w:rsidR="00A37447" w:rsidRDefault="00A37447">
      <w:pPr>
        <w:spacing w:before="160"/>
        <w:jc w:val="center"/>
      </w:pPr>
      <w:r>
        <w:rPr>
          <w:noProof/>
        </w:rPr>
        <w:lastRenderedPageBreak/>
        <w:drawing>
          <wp:inline distT="0" distB="0" distL="0" distR="0" wp14:anchorId="36092CDD" wp14:editId="190ADF4C">
            <wp:extent cx="5400000" cy="3086068"/>
            <wp:effectExtent l="0" t="0" r="0" b="0"/>
            <wp:docPr id="90124" name="Picture 9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13.png"/>
                    <pic:cNvPicPr/>
                  </pic:nvPicPr>
                  <pic:blipFill>
                    <a:blip r:embed="rId124"/>
                    <a:stretch>
                      <a:fillRect/>
                    </a:stretch>
                  </pic:blipFill>
                  <pic:spPr>
                    <a:xfrm>
                      <a:off x="0" y="0"/>
                      <a:ext cx="5400000" cy="3086068"/>
                    </a:xfrm>
                    <a:prstGeom prst="rect">
                      <a:avLst/>
                    </a:prstGeom>
                  </pic:spPr>
                </pic:pic>
              </a:graphicData>
            </a:graphic>
          </wp:inline>
        </w:drawing>
      </w:r>
    </w:p>
    <w:p w14:paraId="31402FA3" w14:textId="77777777" w:rsidR="00A37447" w:rsidRDefault="00A37447">
      <w:pPr>
        <w:keepNext/>
        <w:spacing w:after="80"/>
      </w:pPr>
    </w:p>
    <w:p w14:paraId="06703C76" w14:textId="77777777" w:rsidR="00A37447" w:rsidRPr="0036111A" w:rsidRDefault="00A37447">
      <w:pPr>
        <w:keepNext/>
        <w:keepLines/>
        <w:rPr>
          <w:lang w:val="es-PE"/>
        </w:rPr>
      </w:pPr>
      <w:r w:rsidRPr="0036111A">
        <w:rPr>
          <w:b/>
          <w:color w:val="15607F"/>
          <w:lang w:val="es-PE"/>
        </w:rPr>
        <w:t>PRODUCCIÓN DE GAS NATURAL POR PAÍS</w:t>
      </w:r>
    </w:p>
    <w:p w14:paraId="1ACC2FD8" w14:textId="77777777" w:rsidR="00A37447" w:rsidRPr="0036111A" w:rsidRDefault="00A37447">
      <w:pPr>
        <w:keepNext/>
        <w:keepLines/>
        <w:rPr>
          <w:lang w:val="es-PE"/>
        </w:rPr>
      </w:pPr>
      <w:r w:rsidRPr="0036111A">
        <w:rPr>
          <w:i/>
          <w:color w:val="595959"/>
          <w:sz w:val="18"/>
          <w:lang w:val="es-PE"/>
        </w:rPr>
        <w:t>Miles de millones de metros cúbicos (bcm)</w:t>
      </w:r>
    </w:p>
    <w:tbl>
      <w:tblPr>
        <w:tblStyle w:val="Tablaconcuadrcula"/>
        <w:tblW w:w="0" w:type="auto"/>
        <w:jc w:val="center"/>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1836"/>
        <w:gridCol w:w="880"/>
        <w:gridCol w:w="881"/>
        <w:gridCol w:w="881"/>
        <w:gridCol w:w="881"/>
        <w:gridCol w:w="881"/>
        <w:gridCol w:w="1132"/>
        <w:gridCol w:w="1132"/>
      </w:tblGrid>
      <w:tr w:rsidR="00855697" w14:paraId="2AEA1206" w14:textId="77777777">
        <w:trPr>
          <w:cantSplit/>
          <w:tblHeader/>
          <w:jc w:val="center"/>
        </w:trPr>
        <w:tc>
          <w:tcPr>
            <w:tcW w:w="2041" w:type="dxa"/>
            <w:shd w:val="clear" w:color="auto" w:fill="1F3864"/>
            <w:noWrap/>
          </w:tcPr>
          <w:p w14:paraId="2654350E" w14:textId="77777777" w:rsidR="00A37447" w:rsidRDefault="00A37447">
            <w:pPr>
              <w:keepNext/>
            </w:pPr>
            <w:r>
              <w:rPr>
                <w:b/>
                <w:color w:val="FFFFFF"/>
                <w:sz w:val="18"/>
              </w:rPr>
              <w:t>País</w:t>
            </w:r>
          </w:p>
        </w:tc>
        <w:tc>
          <w:tcPr>
            <w:tcW w:w="964" w:type="dxa"/>
            <w:shd w:val="clear" w:color="auto" w:fill="1F3864"/>
            <w:noWrap/>
          </w:tcPr>
          <w:p w14:paraId="07842DC9" w14:textId="77777777" w:rsidR="00A37447" w:rsidRDefault="00A37447">
            <w:pPr>
              <w:keepNext/>
              <w:jc w:val="right"/>
            </w:pPr>
            <w:r>
              <w:rPr>
                <w:b/>
                <w:color w:val="FFFFFF"/>
                <w:sz w:val="18"/>
              </w:rPr>
              <w:t>2021</w:t>
            </w:r>
          </w:p>
        </w:tc>
        <w:tc>
          <w:tcPr>
            <w:tcW w:w="964" w:type="dxa"/>
            <w:shd w:val="clear" w:color="auto" w:fill="1F3864"/>
            <w:noWrap/>
          </w:tcPr>
          <w:p w14:paraId="74DD275F" w14:textId="77777777" w:rsidR="00A37447" w:rsidRDefault="00A37447">
            <w:pPr>
              <w:keepNext/>
              <w:jc w:val="right"/>
            </w:pPr>
            <w:r>
              <w:rPr>
                <w:b/>
                <w:color w:val="FFFFFF"/>
                <w:sz w:val="18"/>
              </w:rPr>
              <w:t>2022</w:t>
            </w:r>
          </w:p>
        </w:tc>
        <w:tc>
          <w:tcPr>
            <w:tcW w:w="964" w:type="dxa"/>
            <w:shd w:val="clear" w:color="auto" w:fill="1F3864"/>
            <w:noWrap/>
          </w:tcPr>
          <w:p w14:paraId="633C5FEB" w14:textId="77777777" w:rsidR="00A37447" w:rsidRDefault="00A37447">
            <w:pPr>
              <w:keepNext/>
              <w:jc w:val="right"/>
            </w:pPr>
            <w:r>
              <w:rPr>
                <w:b/>
                <w:color w:val="FFFFFF"/>
                <w:sz w:val="18"/>
              </w:rPr>
              <w:t>2023</w:t>
            </w:r>
          </w:p>
        </w:tc>
        <w:tc>
          <w:tcPr>
            <w:tcW w:w="964" w:type="dxa"/>
            <w:shd w:val="clear" w:color="auto" w:fill="1F3864"/>
            <w:noWrap/>
          </w:tcPr>
          <w:p w14:paraId="1E38B6AE" w14:textId="77777777" w:rsidR="00A37447" w:rsidRDefault="00A37447">
            <w:pPr>
              <w:keepNext/>
              <w:jc w:val="right"/>
            </w:pPr>
            <w:r>
              <w:rPr>
                <w:b/>
                <w:color w:val="FFFFFF"/>
                <w:sz w:val="18"/>
              </w:rPr>
              <w:t>2024</w:t>
            </w:r>
          </w:p>
        </w:tc>
        <w:tc>
          <w:tcPr>
            <w:tcW w:w="964" w:type="dxa"/>
            <w:shd w:val="clear" w:color="auto" w:fill="1F3864"/>
            <w:noWrap/>
          </w:tcPr>
          <w:p w14:paraId="00C4F1CE" w14:textId="77777777" w:rsidR="00A37447" w:rsidRDefault="00A37447">
            <w:pPr>
              <w:keepNext/>
              <w:jc w:val="right"/>
            </w:pPr>
            <w:r>
              <w:rPr>
                <w:b/>
                <w:color w:val="FFFFFF"/>
                <w:sz w:val="18"/>
              </w:rPr>
              <w:t>2025</w:t>
            </w:r>
          </w:p>
        </w:tc>
        <w:tc>
          <w:tcPr>
            <w:tcW w:w="1247" w:type="dxa"/>
            <w:shd w:val="clear" w:color="auto" w:fill="1F3864"/>
          </w:tcPr>
          <w:p w14:paraId="1E7D0EFB" w14:textId="77777777" w:rsidR="00A37447" w:rsidRDefault="00A37447">
            <w:pPr>
              <w:keepNext/>
              <w:jc w:val="right"/>
            </w:pPr>
            <w:r>
              <w:rPr>
                <w:b/>
                <w:color w:val="FFFFFF"/>
                <w:sz w:val="18"/>
              </w:rPr>
              <w:t>Var. % 2025 vs 2024</w:t>
            </w:r>
          </w:p>
        </w:tc>
        <w:tc>
          <w:tcPr>
            <w:tcW w:w="1247" w:type="dxa"/>
            <w:shd w:val="clear" w:color="auto" w:fill="1F3864"/>
            <w:noWrap/>
          </w:tcPr>
          <w:p w14:paraId="3EB46DEE" w14:textId="77777777" w:rsidR="00A37447" w:rsidRDefault="00A37447">
            <w:pPr>
              <w:keepNext/>
              <w:jc w:val="right"/>
            </w:pPr>
            <w:r>
              <w:rPr>
                <w:b/>
                <w:color w:val="FFFFFF"/>
                <w:sz w:val="18"/>
              </w:rPr>
              <w:t>TACC 2021-2025</w:t>
            </w:r>
          </w:p>
        </w:tc>
      </w:tr>
      <w:tr w:rsidR="00855697" w14:paraId="3771B8B9" w14:textId="77777777">
        <w:trPr>
          <w:cantSplit/>
          <w:jc w:val="center"/>
        </w:trPr>
        <w:tc>
          <w:tcPr>
            <w:tcW w:w="2041" w:type="dxa"/>
            <w:noWrap/>
          </w:tcPr>
          <w:p w14:paraId="70C24825" w14:textId="77777777" w:rsidR="00A37447" w:rsidRDefault="00A37447">
            <w:pPr>
              <w:keepNext/>
            </w:pPr>
            <w:r>
              <w:rPr>
                <w:sz w:val="18"/>
              </w:rPr>
              <w:t>Estados Unidos</w:t>
            </w:r>
          </w:p>
        </w:tc>
        <w:tc>
          <w:tcPr>
            <w:tcW w:w="964" w:type="dxa"/>
            <w:noWrap/>
          </w:tcPr>
          <w:p w14:paraId="685696B8" w14:textId="77777777" w:rsidR="00A37447" w:rsidRDefault="00A37447">
            <w:pPr>
              <w:keepNext/>
              <w:jc w:val="right"/>
            </w:pPr>
            <w:r>
              <w:rPr>
                <w:sz w:val="18"/>
              </w:rPr>
              <w:t>944,5</w:t>
            </w:r>
          </w:p>
        </w:tc>
        <w:tc>
          <w:tcPr>
            <w:tcW w:w="964" w:type="dxa"/>
            <w:noWrap/>
          </w:tcPr>
          <w:p w14:paraId="5CE1049B" w14:textId="77777777" w:rsidR="00A37447" w:rsidRDefault="00A37447">
            <w:pPr>
              <w:keepNext/>
              <w:jc w:val="right"/>
            </w:pPr>
            <w:r>
              <w:rPr>
                <w:sz w:val="18"/>
              </w:rPr>
              <w:t>990,7</w:t>
            </w:r>
          </w:p>
        </w:tc>
        <w:tc>
          <w:tcPr>
            <w:tcW w:w="964" w:type="dxa"/>
            <w:noWrap/>
          </w:tcPr>
          <w:p w14:paraId="3F7AA080" w14:textId="77777777" w:rsidR="00A37447" w:rsidRDefault="00A37447">
            <w:pPr>
              <w:keepNext/>
              <w:jc w:val="right"/>
            </w:pPr>
            <w:r>
              <w:rPr>
                <w:sz w:val="18"/>
              </w:rPr>
              <w:t>1.028,9</w:t>
            </w:r>
          </w:p>
        </w:tc>
        <w:tc>
          <w:tcPr>
            <w:tcW w:w="964" w:type="dxa"/>
            <w:noWrap/>
          </w:tcPr>
          <w:p w14:paraId="5E6C2172" w14:textId="77777777" w:rsidR="00A37447" w:rsidRDefault="00A37447">
            <w:pPr>
              <w:keepNext/>
              <w:jc w:val="right"/>
            </w:pPr>
            <w:r>
              <w:rPr>
                <w:sz w:val="18"/>
              </w:rPr>
              <w:t>1.031,9</w:t>
            </w:r>
          </w:p>
        </w:tc>
        <w:tc>
          <w:tcPr>
            <w:tcW w:w="964" w:type="dxa"/>
            <w:noWrap/>
          </w:tcPr>
          <w:p w14:paraId="754BEF2C" w14:textId="77777777" w:rsidR="00A37447" w:rsidRDefault="00A37447">
            <w:pPr>
              <w:keepNext/>
              <w:jc w:val="right"/>
            </w:pPr>
            <w:r>
              <w:rPr>
                <w:sz w:val="18"/>
              </w:rPr>
              <w:t>1.073,7</w:t>
            </w:r>
          </w:p>
        </w:tc>
        <w:tc>
          <w:tcPr>
            <w:tcW w:w="1247" w:type="dxa"/>
            <w:noWrap/>
          </w:tcPr>
          <w:p w14:paraId="7D23663D" w14:textId="77777777" w:rsidR="00A37447" w:rsidRDefault="00A37447">
            <w:pPr>
              <w:keepNext/>
              <w:jc w:val="right"/>
            </w:pPr>
            <w:r>
              <w:rPr>
                <w:sz w:val="18"/>
              </w:rPr>
              <w:t>4,1 %</w:t>
            </w:r>
          </w:p>
        </w:tc>
        <w:tc>
          <w:tcPr>
            <w:tcW w:w="1247" w:type="dxa"/>
            <w:noWrap/>
          </w:tcPr>
          <w:p w14:paraId="52162AB8" w14:textId="77777777" w:rsidR="00A37447" w:rsidRDefault="00A37447">
            <w:pPr>
              <w:keepNext/>
              <w:jc w:val="right"/>
            </w:pPr>
            <w:r>
              <w:rPr>
                <w:sz w:val="18"/>
              </w:rPr>
              <w:t>3,3 %</w:t>
            </w:r>
          </w:p>
        </w:tc>
      </w:tr>
      <w:tr w:rsidR="00855697" w14:paraId="012A8FD6" w14:textId="77777777">
        <w:trPr>
          <w:cantSplit/>
          <w:jc w:val="center"/>
        </w:trPr>
        <w:tc>
          <w:tcPr>
            <w:tcW w:w="2041" w:type="dxa"/>
            <w:noWrap/>
          </w:tcPr>
          <w:p w14:paraId="20C86FEB" w14:textId="77777777" w:rsidR="00A37447" w:rsidRDefault="00A37447">
            <w:pPr>
              <w:keepNext/>
            </w:pPr>
            <w:r>
              <w:rPr>
                <w:sz w:val="18"/>
              </w:rPr>
              <w:t>Rusia</w:t>
            </w:r>
          </w:p>
        </w:tc>
        <w:tc>
          <w:tcPr>
            <w:tcW w:w="964" w:type="dxa"/>
            <w:noWrap/>
          </w:tcPr>
          <w:p w14:paraId="447A54A0" w14:textId="77777777" w:rsidR="00A37447" w:rsidRDefault="00A37447">
            <w:pPr>
              <w:keepNext/>
              <w:jc w:val="right"/>
            </w:pPr>
            <w:r>
              <w:rPr>
                <w:sz w:val="18"/>
              </w:rPr>
              <w:t>702,1</w:t>
            </w:r>
          </w:p>
        </w:tc>
        <w:tc>
          <w:tcPr>
            <w:tcW w:w="964" w:type="dxa"/>
            <w:noWrap/>
          </w:tcPr>
          <w:p w14:paraId="240D5831" w14:textId="77777777" w:rsidR="00A37447" w:rsidRDefault="00A37447">
            <w:pPr>
              <w:keepNext/>
              <w:jc w:val="right"/>
            </w:pPr>
            <w:r>
              <w:rPr>
                <w:sz w:val="18"/>
              </w:rPr>
              <w:t>618,4</w:t>
            </w:r>
          </w:p>
        </w:tc>
        <w:tc>
          <w:tcPr>
            <w:tcW w:w="964" w:type="dxa"/>
            <w:noWrap/>
          </w:tcPr>
          <w:p w14:paraId="2EFD1004" w14:textId="77777777" w:rsidR="00A37447" w:rsidRDefault="00A37447">
            <w:pPr>
              <w:keepNext/>
              <w:jc w:val="right"/>
            </w:pPr>
            <w:r>
              <w:rPr>
                <w:sz w:val="18"/>
              </w:rPr>
              <w:t>586,4</w:t>
            </w:r>
          </w:p>
        </w:tc>
        <w:tc>
          <w:tcPr>
            <w:tcW w:w="964" w:type="dxa"/>
            <w:noWrap/>
          </w:tcPr>
          <w:p w14:paraId="3D5C367B" w14:textId="77777777" w:rsidR="00A37447" w:rsidRDefault="00A37447">
            <w:pPr>
              <w:keepNext/>
              <w:jc w:val="right"/>
            </w:pPr>
            <w:r>
              <w:rPr>
                <w:sz w:val="18"/>
              </w:rPr>
              <w:t>629,9</w:t>
            </w:r>
          </w:p>
        </w:tc>
        <w:tc>
          <w:tcPr>
            <w:tcW w:w="964" w:type="dxa"/>
            <w:noWrap/>
          </w:tcPr>
          <w:p w14:paraId="15A2DC09" w14:textId="77777777" w:rsidR="00A37447" w:rsidRDefault="00A37447">
            <w:pPr>
              <w:keepNext/>
              <w:jc w:val="right"/>
            </w:pPr>
            <w:r>
              <w:rPr>
                <w:sz w:val="18"/>
              </w:rPr>
              <w:t>609,4</w:t>
            </w:r>
          </w:p>
        </w:tc>
        <w:tc>
          <w:tcPr>
            <w:tcW w:w="1247" w:type="dxa"/>
            <w:noWrap/>
          </w:tcPr>
          <w:p w14:paraId="23E00676" w14:textId="77777777" w:rsidR="00A37447" w:rsidRDefault="00A37447">
            <w:pPr>
              <w:keepNext/>
              <w:jc w:val="right"/>
            </w:pPr>
            <w:r>
              <w:rPr>
                <w:sz w:val="18"/>
              </w:rPr>
              <w:t>-3,3 %</w:t>
            </w:r>
          </w:p>
        </w:tc>
        <w:tc>
          <w:tcPr>
            <w:tcW w:w="1247" w:type="dxa"/>
            <w:noWrap/>
          </w:tcPr>
          <w:p w14:paraId="64649164" w14:textId="77777777" w:rsidR="00A37447" w:rsidRDefault="00A37447">
            <w:pPr>
              <w:keepNext/>
              <w:jc w:val="right"/>
            </w:pPr>
            <w:r>
              <w:rPr>
                <w:sz w:val="18"/>
              </w:rPr>
              <w:t>-3,5 %</w:t>
            </w:r>
          </w:p>
        </w:tc>
      </w:tr>
      <w:tr w:rsidR="00855697" w14:paraId="3DA50669" w14:textId="77777777">
        <w:trPr>
          <w:cantSplit/>
          <w:jc w:val="center"/>
        </w:trPr>
        <w:tc>
          <w:tcPr>
            <w:tcW w:w="2041" w:type="dxa"/>
            <w:noWrap/>
          </w:tcPr>
          <w:p w14:paraId="58DCA470" w14:textId="77777777" w:rsidR="00A37447" w:rsidRDefault="00A37447">
            <w:pPr>
              <w:keepNext/>
            </w:pPr>
            <w:r>
              <w:rPr>
                <w:sz w:val="18"/>
              </w:rPr>
              <w:t>Irán</w:t>
            </w:r>
          </w:p>
        </w:tc>
        <w:tc>
          <w:tcPr>
            <w:tcW w:w="964" w:type="dxa"/>
            <w:noWrap/>
          </w:tcPr>
          <w:p w14:paraId="239D3029" w14:textId="77777777" w:rsidR="00A37447" w:rsidRDefault="00A37447">
            <w:pPr>
              <w:keepNext/>
              <w:jc w:val="right"/>
            </w:pPr>
            <w:r>
              <w:rPr>
                <w:sz w:val="18"/>
              </w:rPr>
              <w:t>242,8</w:t>
            </w:r>
          </w:p>
        </w:tc>
        <w:tc>
          <w:tcPr>
            <w:tcW w:w="964" w:type="dxa"/>
            <w:noWrap/>
          </w:tcPr>
          <w:p w14:paraId="604D612B" w14:textId="77777777" w:rsidR="00A37447" w:rsidRDefault="00A37447">
            <w:pPr>
              <w:keepNext/>
              <w:jc w:val="right"/>
            </w:pPr>
            <w:r>
              <w:rPr>
                <w:sz w:val="18"/>
              </w:rPr>
              <w:t>247,7</w:t>
            </w:r>
          </w:p>
        </w:tc>
        <w:tc>
          <w:tcPr>
            <w:tcW w:w="964" w:type="dxa"/>
            <w:noWrap/>
          </w:tcPr>
          <w:p w14:paraId="1395AB61" w14:textId="77777777" w:rsidR="00A37447" w:rsidRDefault="00A37447">
            <w:pPr>
              <w:keepNext/>
              <w:jc w:val="right"/>
            </w:pPr>
            <w:r>
              <w:rPr>
                <w:sz w:val="18"/>
              </w:rPr>
              <w:t>259,7</w:t>
            </w:r>
          </w:p>
        </w:tc>
        <w:tc>
          <w:tcPr>
            <w:tcW w:w="964" w:type="dxa"/>
            <w:noWrap/>
          </w:tcPr>
          <w:p w14:paraId="6FDC6C45" w14:textId="77777777" w:rsidR="00A37447" w:rsidRDefault="00A37447">
            <w:pPr>
              <w:keepNext/>
              <w:jc w:val="right"/>
            </w:pPr>
            <w:r>
              <w:rPr>
                <w:sz w:val="18"/>
              </w:rPr>
              <w:t>262,2</w:t>
            </w:r>
          </w:p>
        </w:tc>
        <w:tc>
          <w:tcPr>
            <w:tcW w:w="964" w:type="dxa"/>
            <w:noWrap/>
          </w:tcPr>
          <w:p w14:paraId="76329091" w14:textId="77777777" w:rsidR="00A37447" w:rsidRDefault="00A37447">
            <w:pPr>
              <w:keepNext/>
              <w:jc w:val="right"/>
            </w:pPr>
            <w:r>
              <w:rPr>
                <w:sz w:val="18"/>
              </w:rPr>
              <w:t>264,8</w:t>
            </w:r>
          </w:p>
        </w:tc>
        <w:tc>
          <w:tcPr>
            <w:tcW w:w="1247" w:type="dxa"/>
            <w:noWrap/>
          </w:tcPr>
          <w:p w14:paraId="0CE11479" w14:textId="77777777" w:rsidR="00A37447" w:rsidRDefault="00A37447">
            <w:pPr>
              <w:keepNext/>
              <w:jc w:val="right"/>
            </w:pPr>
            <w:r>
              <w:rPr>
                <w:sz w:val="18"/>
              </w:rPr>
              <w:t>1,0 %</w:t>
            </w:r>
          </w:p>
        </w:tc>
        <w:tc>
          <w:tcPr>
            <w:tcW w:w="1247" w:type="dxa"/>
            <w:noWrap/>
          </w:tcPr>
          <w:p w14:paraId="31DB1AEF" w14:textId="77777777" w:rsidR="00A37447" w:rsidRDefault="00A37447">
            <w:pPr>
              <w:keepNext/>
              <w:jc w:val="right"/>
            </w:pPr>
            <w:r>
              <w:rPr>
                <w:sz w:val="18"/>
              </w:rPr>
              <w:t>2,2 %</w:t>
            </w:r>
          </w:p>
        </w:tc>
      </w:tr>
      <w:tr w:rsidR="00855697" w14:paraId="4B900A7D" w14:textId="77777777">
        <w:trPr>
          <w:cantSplit/>
          <w:jc w:val="center"/>
        </w:trPr>
        <w:tc>
          <w:tcPr>
            <w:tcW w:w="2041" w:type="dxa"/>
            <w:noWrap/>
          </w:tcPr>
          <w:p w14:paraId="7EF3BDD6" w14:textId="77777777" w:rsidR="00A37447" w:rsidRDefault="00A37447">
            <w:pPr>
              <w:keepNext/>
            </w:pPr>
            <w:r>
              <w:rPr>
                <w:sz w:val="18"/>
              </w:rPr>
              <w:t>China</w:t>
            </w:r>
          </w:p>
        </w:tc>
        <w:tc>
          <w:tcPr>
            <w:tcW w:w="964" w:type="dxa"/>
            <w:noWrap/>
          </w:tcPr>
          <w:p w14:paraId="67C6B6D2" w14:textId="77777777" w:rsidR="00A37447" w:rsidRDefault="00A37447">
            <w:pPr>
              <w:keepNext/>
              <w:jc w:val="right"/>
            </w:pPr>
            <w:r>
              <w:rPr>
                <w:sz w:val="18"/>
              </w:rPr>
              <w:t>209,2</w:t>
            </w:r>
          </w:p>
        </w:tc>
        <w:tc>
          <w:tcPr>
            <w:tcW w:w="964" w:type="dxa"/>
            <w:noWrap/>
          </w:tcPr>
          <w:p w14:paraId="4D608EB3" w14:textId="77777777" w:rsidR="00A37447" w:rsidRDefault="00A37447">
            <w:pPr>
              <w:keepNext/>
              <w:jc w:val="right"/>
            </w:pPr>
            <w:r>
              <w:rPr>
                <w:sz w:val="18"/>
              </w:rPr>
              <w:t>221,8</w:t>
            </w:r>
          </w:p>
        </w:tc>
        <w:tc>
          <w:tcPr>
            <w:tcW w:w="964" w:type="dxa"/>
            <w:noWrap/>
          </w:tcPr>
          <w:p w14:paraId="0C4F3EE6" w14:textId="77777777" w:rsidR="00A37447" w:rsidRDefault="00A37447">
            <w:pPr>
              <w:keepNext/>
              <w:jc w:val="right"/>
            </w:pPr>
            <w:r>
              <w:rPr>
                <w:sz w:val="18"/>
              </w:rPr>
              <w:t>234,3</w:t>
            </w:r>
          </w:p>
        </w:tc>
        <w:tc>
          <w:tcPr>
            <w:tcW w:w="964" w:type="dxa"/>
            <w:noWrap/>
          </w:tcPr>
          <w:p w14:paraId="572CB72C" w14:textId="77777777" w:rsidR="00A37447" w:rsidRDefault="00A37447">
            <w:pPr>
              <w:keepNext/>
              <w:jc w:val="right"/>
            </w:pPr>
            <w:r>
              <w:rPr>
                <w:sz w:val="18"/>
              </w:rPr>
              <w:t>248,4</w:t>
            </w:r>
          </w:p>
        </w:tc>
        <w:tc>
          <w:tcPr>
            <w:tcW w:w="964" w:type="dxa"/>
            <w:noWrap/>
          </w:tcPr>
          <w:p w14:paraId="697C06F9" w14:textId="77777777" w:rsidR="00A37447" w:rsidRDefault="00A37447">
            <w:pPr>
              <w:keepNext/>
              <w:jc w:val="right"/>
            </w:pPr>
            <w:r>
              <w:rPr>
                <w:sz w:val="18"/>
              </w:rPr>
              <w:t>264,1</w:t>
            </w:r>
          </w:p>
        </w:tc>
        <w:tc>
          <w:tcPr>
            <w:tcW w:w="1247" w:type="dxa"/>
            <w:noWrap/>
          </w:tcPr>
          <w:p w14:paraId="56245F30" w14:textId="77777777" w:rsidR="00A37447" w:rsidRDefault="00A37447">
            <w:pPr>
              <w:keepNext/>
              <w:jc w:val="right"/>
            </w:pPr>
            <w:r>
              <w:rPr>
                <w:sz w:val="18"/>
              </w:rPr>
              <w:t>6,3 %</w:t>
            </w:r>
          </w:p>
        </w:tc>
        <w:tc>
          <w:tcPr>
            <w:tcW w:w="1247" w:type="dxa"/>
            <w:noWrap/>
          </w:tcPr>
          <w:p w14:paraId="4C64A162" w14:textId="77777777" w:rsidR="00A37447" w:rsidRDefault="00A37447">
            <w:pPr>
              <w:keepNext/>
              <w:jc w:val="right"/>
            </w:pPr>
            <w:r>
              <w:rPr>
                <w:sz w:val="18"/>
              </w:rPr>
              <w:t>6,0 %</w:t>
            </w:r>
          </w:p>
        </w:tc>
      </w:tr>
      <w:tr w:rsidR="00855697" w14:paraId="6754538C" w14:textId="77777777">
        <w:trPr>
          <w:cantSplit/>
          <w:jc w:val="center"/>
        </w:trPr>
        <w:tc>
          <w:tcPr>
            <w:tcW w:w="2041" w:type="dxa"/>
            <w:noWrap/>
          </w:tcPr>
          <w:p w14:paraId="6FEF27BD" w14:textId="77777777" w:rsidR="00A37447" w:rsidRDefault="00A37447">
            <w:pPr>
              <w:keepNext/>
            </w:pPr>
            <w:r>
              <w:rPr>
                <w:sz w:val="18"/>
              </w:rPr>
              <w:t>Canadá</w:t>
            </w:r>
          </w:p>
        </w:tc>
        <w:tc>
          <w:tcPr>
            <w:tcW w:w="964" w:type="dxa"/>
            <w:noWrap/>
          </w:tcPr>
          <w:p w14:paraId="44D45EB1" w14:textId="77777777" w:rsidR="00A37447" w:rsidRDefault="00A37447">
            <w:pPr>
              <w:keepNext/>
              <w:jc w:val="right"/>
            </w:pPr>
            <w:r>
              <w:rPr>
                <w:sz w:val="18"/>
              </w:rPr>
              <w:t>176,5</w:t>
            </w:r>
          </w:p>
        </w:tc>
        <w:tc>
          <w:tcPr>
            <w:tcW w:w="964" w:type="dxa"/>
            <w:noWrap/>
          </w:tcPr>
          <w:p w14:paraId="22418ED5" w14:textId="77777777" w:rsidR="00A37447" w:rsidRDefault="00A37447">
            <w:pPr>
              <w:keepNext/>
              <w:jc w:val="right"/>
            </w:pPr>
            <w:r>
              <w:rPr>
                <w:sz w:val="18"/>
              </w:rPr>
              <w:t>189,5</w:t>
            </w:r>
          </w:p>
        </w:tc>
        <w:tc>
          <w:tcPr>
            <w:tcW w:w="964" w:type="dxa"/>
            <w:noWrap/>
          </w:tcPr>
          <w:p w14:paraId="481155BF" w14:textId="77777777" w:rsidR="00A37447" w:rsidRDefault="00A37447">
            <w:pPr>
              <w:keepNext/>
              <w:jc w:val="right"/>
            </w:pPr>
            <w:r>
              <w:rPr>
                <w:sz w:val="18"/>
              </w:rPr>
              <w:t>195,0</w:t>
            </w:r>
          </w:p>
        </w:tc>
        <w:tc>
          <w:tcPr>
            <w:tcW w:w="964" w:type="dxa"/>
            <w:noWrap/>
          </w:tcPr>
          <w:p w14:paraId="5C136E74" w14:textId="77777777" w:rsidR="00A37447" w:rsidRDefault="00A37447">
            <w:pPr>
              <w:keepNext/>
              <w:jc w:val="right"/>
            </w:pPr>
            <w:r>
              <w:rPr>
                <w:sz w:val="18"/>
              </w:rPr>
              <w:t>199,5</w:t>
            </w:r>
          </w:p>
        </w:tc>
        <w:tc>
          <w:tcPr>
            <w:tcW w:w="964" w:type="dxa"/>
            <w:noWrap/>
          </w:tcPr>
          <w:p w14:paraId="708151D2" w14:textId="77777777" w:rsidR="00A37447" w:rsidRDefault="00A37447">
            <w:pPr>
              <w:keepNext/>
              <w:jc w:val="right"/>
            </w:pPr>
            <w:r>
              <w:rPr>
                <w:sz w:val="18"/>
              </w:rPr>
              <w:t>206,2</w:t>
            </w:r>
          </w:p>
        </w:tc>
        <w:tc>
          <w:tcPr>
            <w:tcW w:w="1247" w:type="dxa"/>
            <w:noWrap/>
          </w:tcPr>
          <w:p w14:paraId="2C2CE4E5" w14:textId="77777777" w:rsidR="00A37447" w:rsidRDefault="00A37447">
            <w:pPr>
              <w:keepNext/>
              <w:jc w:val="right"/>
            </w:pPr>
            <w:r>
              <w:rPr>
                <w:sz w:val="18"/>
              </w:rPr>
              <w:t>3,4 %</w:t>
            </w:r>
          </w:p>
        </w:tc>
        <w:tc>
          <w:tcPr>
            <w:tcW w:w="1247" w:type="dxa"/>
            <w:noWrap/>
          </w:tcPr>
          <w:p w14:paraId="5155E58E" w14:textId="77777777" w:rsidR="00A37447" w:rsidRDefault="00A37447">
            <w:pPr>
              <w:keepNext/>
              <w:jc w:val="right"/>
            </w:pPr>
            <w:r>
              <w:rPr>
                <w:sz w:val="18"/>
              </w:rPr>
              <w:t>4,0 %</w:t>
            </w:r>
          </w:p>
        </w:tc>
      </w:tr>
      <w:tr w:rsidR="00855697" w14:paraId="7BCCF5C4" w14:textId="77777777">
        <w:trPr>
          <w:cantSplit/>
          <w:jc w:val="center"/>
        </w:trPr>
        <w:tc>
          <w:tcPr>
            <w:tcW w:w="2041" w:type="dxa"/>
            <w:noWrap/>
          </w:tcPr>
          <w:p w14:paraId="29160F55" w14:textId="77777777" w:rsidR="00A37447" w:rsidRDefault="00A37447">
            <w:pPr>
              <w:keepNext/>
            </w:pPr>
            <w:r>
              <w:rPr>
                <w:sz w:val="18"/>
              </w:rPr>
              <w:t>Catar</w:t>
            </w:r>
          </w:p>
        </w:tc>
        <w:tc>
          <w:tcPr>
            <w:tcW w:w="964" w:type="dxa"/>
            <w:noWrap/>
          </w:tcPr>
          <w:p w14:paraId="4E56F1D1" w14:textId="77777777" w:rsidR="00A37447" w:rsidRDefault="00A37447">
            <w:pPr>
              <w:keepNext/>
              <w:jc w:val="right"/>
            </w:pPr>
            <w:r>
              <w:rPr>
                <w:sz w:val="18"/>
              </w:rPr>
              <w:t>177,0</w:t>
            </w:r>
          </w:p>
        </w:tc>
        <w:tc>
          <w:tcPr>
            <w:tcW w:w="964" w:type="dxa"/>
            <w:noWrap/>
          </w:tcPr>
          <w:p w14:paraId="7887B2C4" w14:textId="77777777" w:rsidR="00A37447" w:rsidRDefault="00A37447">
            <w:pPr>
              <w:keepNext/>
              <w:jc w:val="right"/>
            </w:pPr>
            <w:r>
              <w:rPr>
                <w:sz w:val="18"/>
              </w:rPr>
              <w:t>178,5</w:t>
            </w:r>
          </w:p>
        </w:tc>
        <w:tc>
          <w:tcPr>
            <w:tcW w:w="964" w:type="dxa"/>
            <w:noWrap/>
          </w:tcPr>
          <w:p w14:paraId="08E2133A" w14:textId="77777777" w:rsidR="00A37447" w:rsidRDefault="00A37447">
            <w:pPr>
              <w:keepNext/>
              <w:jc w:val="right"/>
            </w:pPr>
            <w:r>
              <w:rPr>
                <w:sz w:val="18"/>
              </w:rPr>
              <w:t>181,0</w:t>
            </w:r>
          </w:p>
        </w:tc>
        <w:tc>
          <w:tcPr>
            <w:tcW w:w="964" w:type="dxa"/>
            <w:noWrap/>
          </w:tcPr>
          <w:p w14:paraId="64083BA9" w14:textId="77777777" w:rsidR="00A37447" w:rsidRDefault="00A37447">
            <w:pPr>
              <w:keepNext/>
              <w:jc w:val="right"/>
            </w:pPr>
            <w:r>
              <w:rPr>
                <w:sz w:val="18"/>
              </w:rPr>
              <w:t>179,7</w:t>
            </w:r>
          </w:p>
        </w:tc>
        <w:tc>
          <w:tcPr>
            <w:tcW w:w="964" w:type="dxa"/>
            <w:noWrap/>
          </w:tcPr>
          <w:p w14:paraId="2AE5A6F3" w14:textId="77777777" w:rsidR="00A37447" w:rsidRDefault="00A37447">
            <w:pPr>
              <w:keepNext/>
              <w:jc w:val="right"/>
            </w:pPr>
            <w:r>
              <w:rPr>
                <w:sz w:val="18"/>
              </w:rPr>
              <w:t>183,5</w:t>
            </w:r>
          </w:p>
        </w:tc>
        <w:tc>
          <w:tcPr>
            <w:tcW w:w="1247" w:type="dxa"/>
            <w:noWrap/>
          </w:tcPr>
          <w:p w14:paraId="474288FA" w14:textId="77777777" w:rsidR="00A37447" w:rsidRDefault="00A37447">
            <w:pPr>
              <w:keepNext/>
              <w:jc w:val="right"/>
            </w:pPr>
            <w:r>
              <w:rPr>
                <w:sz w:val="18"/>
              </w:rPr>
              <w:t>2,1 %</w:t>
            </w:r>
          </w:p>
        </w:tc>
        <w:tc>
          <w:tcPr>
            <w:tcW w:w="1247" w:type="dxa"/>
            <w:noWrap/>
          </w:tcPr>
          <w:p w14:paraId="5E8DAA59" w14:textId="77777777" w:rsidR="00A37447" w:rsidRDefault="00A37447">
            <w:pPr>
              <w:keepNext/>
              <w:jc w:val="right"/>
            </w:pPr>
            <w:r>
              <w:rPr>
                <w:sz w:val="18"/>
              </w:rPr>
              <w:t>0,9 %</w:t>
            </w:r>
          </w:p>
        </w:tc>
      </w:tr>
      <w:tr w:rsidR="00855697" w14:paraId="1CDF5ADE" w14:textId="77777777">
        <w:trPr>
          <w:cantSplit/>
          <w:jc w:val="center"/>
        </w:trPr>
        <w:tc>
          <w:tcPr>
            <w:tcW w:w="2041" w:type="dxa"/>
            <w:noWrap/>
          </w:tcPr>
          <w:p w14:paraId="00FD4D74" w14:textId="77777777" w:rsidR="00A37447" w:rsidRDefault="00A37447">
            <w:pPr>
              <w:keepNext/>
            </w:pPr>
            <w:r>
              <w:rPr>
                <w:sz w:val="18"/>
              </w:rPr>
              <w:t>Australia</w:t>
            </w:r>
          </w:p>
        </w:tc>
        <w:tc>
          <w:tcPr>
            <w:tcW w:w="964" w:type="dxa"/>
            <w:noWrap/>
          </w:tcPr>
          <w:p w14:paraId="10910853" w14:textId="77777777" w:rsidR="00A37447" w:rsidRDefault="00A37447">
            <w:pPr>
              <w:keepNext/>
              <w:jc w:val="right"/>
            </w:pPr>
            <w:r>
              <w:rPr>
                <w:sz w:val="18"/>
              </w:rPr>
              <w:t>147,9</w:t>
            </w:r>
          </w:p>
        </w:tc>
        <w:tc>
          <w:tcPr>
            <w:tcW w:w="964" w:type="dxa"/>
            <w:noWrap/>
          </w:tcPr>
          <w:p w14:paraId="26F91FF0" w14:textId="77777777" w:rsidR="00A37447" w:rsidRDefault="00A37447">
            <w:pPr>
              <w:keepNext/>
              <w:jc w:val="right"/>
            </w:pPr>
            <w:r>
              <w:rPr>
                <w:sz w:val="18"/>
              </w:rPr>
              <w:t>154,2</w:t>
            </w:r>
          </w:p>
        </w:tc>
        <w:tc>
          <w:tcPr>
            <w:tcW w:w="964" w:type="dxa"/>
            <w:noWrap/>
          </w:tcPr>
          <w:p w14:paraId="3E4AF99D" w14:textId="77777777" w:rsidR="00A37447" w:rsidRDefault="00A37447">
            <w:pPr>
              <w:keepNext/>
              <w:jc w:val="right"/>
            </w:pPr>
            <w:r>
              <w:rPr>
                <w:sz w:val="18"/>
              </w:rPr>
              <w:t>150,7</w:t>
            </w:r>
          </w:p>
        </w:tc>
        <w:tc>
          <w:tcPr>
            <w:tcW w:w="964" w:type="dxa"/>
            <w:noWrap/>
          </w:tcPr>
          <w:p w14:paraId="5D56DFCD" w14:textId="77777777" w:rsidR="00A37447" w:rsidRDefault="00A37447">
            <w:pPr>
              <w:keepNext/>
              <w:jc w:val="right"/>
            </w:pPr>
            <w:r>
              <w:rPr>
                <w:sz w:val="18"/>
              </w:rPr>
              <w:t>152,3</w:t>
            </w:r>
          </w:p>
        </w:tc>
        <w:tc>
          <w:tcPr>
            <w:tcW w:w="964" w:type="dxa"/>
            <w:noWrap/>
          </w:tcPr>
          <w:p w14:paraId="68D4A2DF" w14:textId="77777777" w:rsidR="00A37447" w:rsidRDefault="00A37447">
            <w:pPr>
              <w:keepNext/>
              <w:jc w:val="right"/>
            </w:pPr>
            <w:r>
              <w:rPr>
                <w:sz w:val="18"/>
              </w:rPr>
              <w:t>148,6</w:t>
            </w:r>
          </w:p>
        </w:tc>
        <w:tc>
          <w:tcPr>
            <w:tcW w:w="1247" w:type="dxa"/>
            <w:noWrap/>
          </w:tcPr>
          <w:p w14:paraId="40793854" w14:textId="77777777" w:rsidR="00A37447" w:rsidRDefault="00A37447">
            <w:pPr>
              <w:keepNext/>
              <w:jc w:val="right"/>
            </w:pPr>
            <w:r>
              <w:rPr>
                <w:sz w:val="18"/>
              </w:rPr>
              <w:t>-2,4 %</w:t>
            </w:r>
          </w:p>
        </w:tc>
        <w:tc>
          <w:tcPr>
            <w:tcW w:w="1247" w:type="dxa"/>
            <w:noWrap/>
          </w:tcPr>
          <w:p w14:paraId="0572B6E6" w14:textId="77777777" w:rsidR="00A37447" w:rsidRDefault="00A37447">
            <w:pPr>
              <w:keepNext/>
              <w:jc w:val="right"/>
            </w:pPr>
            <w:r>
              <w:rPr>
                <w:sz w:val="18"/>
              </w:rPr>
              <w:t>0,1 %</w:t>
            </w:r>
          </w:p>
        </w:tc>
      </w:tr>
      <w:tr w:rsidR="00855697" w14:paraId="68D2AE19" w14:textId="77777777">
        <w:trPr>
          <w:cantSplit/>
          <w:jc w:val="center"/>
        </w:trPr>
        <w:tc>
          <w:tcPr>
            <w:tcW w:w="2041" w:type="dxa"/>
            <w:noWrap/>
          </w:tcPr>
          <w:p w14:paraId="3FADAACD" w14:textId="77777777" w:rsidR="00A37447" w:rsidRDefault="00A37447">
            <w:pPr>
              <w:keepNext/>
            </w:pPr>
            <w:r>
              <w:rPr>
                <w:sz w:val="18"/>
              </w:rPr>
              <w:t>Arabia Saudita</w:t>
            </w:r>
          </w:p>
        </w:tc>
        <w:tc>
          <w:tcPr>
            <w:tcW w:w="964" w:type="dxa"/>
            <w:noWrap/>
          </w:tcPr>
          <w:p w14:paraId="047E3E23" w14:textId="77777777" w:rsidR="00A37447" w:rsidRDefault="00A37447">
            <w:pPr>
              <w:keepNext/>
              <w:jc w:val="right"/>
            </w:pPr>
            <w:r>
              <w:rPr>
                <w:sz w:val="18"/>
              </w:rPr>
              <w:t>114,5</w:t>
            </w:r>
          </w:p>
        </w:tc>
        <w:tc>
          <w:tcPr>
            <w:tcW w:w="964" w:type="dxa"/>
            <w:noWrap/>
          </w:tcPr>
          <w:p w14:paraId="7A227903" w14:textId="77777777" w:rsidR="00A37447" w:rsidRDefault="00A37447">
            <w:pPr>
              <w:keepNext/>
              <w:jc w:val="right"/>
            </w:pPr>
            <w:r>
              <w:rPr>
                <w:sz w:val="18"/>
              </w:rPr>
              <w:t>116,7</w:t>
            </w:r>
          </w:p>
        </w:tc>
        <w:tc>
          <w:tcPr>
            <w:tcW w:w="964" w:type="dxa"/>
            <w:noWrap/>
          </w:tcPr>
          <w:p w14:paraId="1789600E" w14:textId="77777777" w:rsidR="00A37447" w:rsidRDefault="00A37447">
            <w:pPr>
              <w:keepNext/>
              <w:jc w:val="right"/>
            </w:pPr>
            <w:r>
              <w:rPr>
                <w:sz w:val="18"/>
              </w:rPr>
              <w:t>117,4</w:t>
            </w:r>
          </w:p>
        </w:tc>
        <w:tc>
          <w:tcPr>
            <w:tcW w:w="964" w:type="dxa"/>
            <w:noWrap/>
          </w:tcPr>
          <w:p w14:paraId="0C36A539" w14:textId="77777777" w:rsidR="00A37447" w:rsidRDefault="00A37447">
            <w:pPr>
              <w:keepNext/>
              <w:jc w:val="right"/>
            </w:pPr>
            <w:r>
              <w:rPr>
                <w:sz w:val="18"/>
              </w:rPr>
              <w:t>123,6</w:t>
            </w:r>
          </w:p>
        </w:tc>
        <w:tc>
          <w:tcPr>
            <w:tcW w:w="964" w:type="dxa"/>
            <w:noWrap/>
          </w:tcPr>
          <w:p w14:paraId="276D2EA9" w14:textId="77777777" w:rsidR="00A37447" w:rsidRDefault="00A37447">
            <w:pPr>
              <w:keepNext/>
              <w:jc w:val="right"/>
            </w:pPr>
            <w:r>
              <w:rPr>
                <w:sz w:val="18"/>
              </w:rPr>
              <w:t>133,8</w:t>
            </w:r>
          </w:p>
        </w:tc>
        <w:tc>
          <w:tcPr>
            <w:tcW w:w="1247" w:type="dxa"/>
            <w:noWrap/>
          </w:tcPr>
          <w:p w14:paraId="22A3D0A7" w14:textId="77777777" w:rsidR="00A37447" w:rsidRDefault="00A37447">
            <w:pPr>
              <w:keepNext/>
              <w:jc w:val="right"/>
            </w:pPr>
            <w:r>
              <w:rPr>
                <w:sz w:val="18"/>
              </w:rPr>
              <w:t>8,3 %</w:t>
            </w:r>
          </w:p>
        </w:tc>
        <w:tc>
          <w:tcPr>
            <w:tcW w:w="1247" w:type="dxa"/>
            <w:noWrap/>
          </w:tcPr>
          <w:p w14:paraId="0188668C" w14:textId="77777777" w:rsidR="00A37447" w:rsidRDefault="00A37447">
            <w:pPr>
              <w:keepNext/>
              <w:jc w:val="right"/>
            </w:pPr>
            <w:r>
              <w:rPr>
                <w:sz w:val="18"/>
              </w:rPr>
              <w:t>4,0 %</w:t>
            </w:r>
          </w:p>
        </w:tc>
      </w:tr>
      <w:tr w:rsidR="00855697" w14:paraId="3A45F1BA" w14:textId="77777777">
        <w:trPr>
          <w:cantSplit/>
          <w:jc w:val="center"/>
        </w:trPr>
        <w:tc>
          <w:tcPr>
            <w:tcW w:w="2041" w:type="dxa"/>
            <w:noWrap/>
          </w:tcPr>
          <w:p w14:paraId="756DD97C" w14:textId="77777777" w:rsidR="00A37447" w:rsidRDefault="00A37447">
            <w:pPr>
              <w:keepNext/>
            </w:pPr>
            <w:r>
              <w:rPr>
                <w:sz w:val="18"/>
              </w:rPr>
              <w:t>Resto del mundo</w:t>
            </w:r>
          </w:p>
        </w:tc>
        <w:tc>
          <w:tcPr>
            <w:tcW w:w="964" w:type="dxa"/>
            <w:noWrap/>
          </w:tcPr>
          <w:p w14:paraId="123D5EA3" w14:textId="77777777" w:rsidR="00A37447" w:rsidRDefault="00A37447">
            <w:pPr>
              <w:keepNext/>
              <w:jc w:val="right"/>
            </w:pPr>
            <w:r>
              <w:rPr>
                <w:sz w:val="18"/>
              </w:rPr>
              <w:t>1.333,8</w:t>
            </w:r>
          </w:p>
        </w:tc>
        <w:tc>
          <w:tcPr>
            <w:tcW w:w="964" w:type="dxa"/>
            <w:noWrap/>
          </w:tcPr>
          <w:p w14:paraId="57645EF7" w14:textId="77777777" w:rsidR="00A37447" w:rsidRDefault="00A37447">
            <w:pPr>
              <w:keepNext/>
              <w:jc w:val="right"/>
            </w:pPr>
            <w:r>
              <w:rPr>
                <w:sz w:val="18"/>
              </w:rPr>
              <w:t>1.335,3</w:t>
            </w:r>
          </w:p>
        </w:tc>
        <w:tc>
          <w:tcPr>
            <w:tcW w:w="964" w:type="dxa"/>
            <w:noWrap/>
          </w:tcPr>
          <w:p w14:paraId="409C1C12" w14:textId="77777777" w:rsidR="00A37447" w:rsidRDefault="00A37447">
            <w:pPr>
              <w:keepNext/>
              <w:jc w:val="right"/>
            </w:pPr>
            <w:r>
              <w:rPr>
                <w:sz w:val="18"/>
              </w:rPr>
              <w:t>1.312,7</w:t>
            </w:r>
          </w:p>
        </w:tc>
        <w:tc>
          <w:tcPr>
            <w:tcW w:w="964" w:type="dxa"/>
            <w:noWrap/>
          </w:tcPr>
          <w:p w14:paraId="3FEDBF6C" w14:textId="77777777" w:rsidR="00A37447" w:rsidRDefault="00A37447">
            <w:pPr>
              <w:keepNext/>
              <w:jc w:val="right"/>
            </w:pPr>
            <w:r>
              <w:rPr>
                <w:sz w:val="18"/>
              </w:rPr>
              <w:t>1.315,7</w:t>
            </w:r>
          </w:p>
        </w:tc>
        <w:tc>
          <w:tcPr>
            <w:tcW w:w="964" w:type="dxa"/>
            <w:noWrap/>
          </w:tcPr>
          <w:p w14:paraId="1ED566C1" w14:textId="77777777" w:rsidR="00A37447" w:rsidRDefault="00A37447">
            <w:pPr>
              <w:keepNext/>
              <w:jc w:val="right"/>
            </w:pPr>
            <w:r>
              <w:rPr>
                <w:sz w:val="18"/>
              </w:rPr>
              <w:t>1.312,4</w:t>
            </w:r>
          </w:p>
        </w:tc>
        <w:tc>
          <w:tcPr>
            <w:tcW w:w="1247" w:type="dxa"/>
            <w:noWrap/>
          </w:tcPr>
          <w:p w14:paraId="7BD3CFC1" w14:textId="77777777" w:rsidR="00A37447" w:rsidRDefault="00A37447">
            <w:pPr>
              <w:keepNext/>
              <w:jc w:val="right"/>
            </w:pPr>
            <w:r>
              <w:rPr>
                <w:sz w:val="18"/>
              </w:rPr>
              <w:t>-0,3 %</w:t>
            </w:r>
          </w:p>
        </w:tc>
        <w:tc>
          <w:tcPr>
            <w:tcW w:w="1247" w:type="dxa"/>
            <w:noWrap/>
          </w:tcPr>
          <w:p w14:paraId="07D6108F" w14:textId="77777777" w:rsidR="00A37447" w:rsidRDefault="00A37447">
            <w:pPr>
              <w:keepNext/>
              <w:jc w:val="right"/>
            </w:pPr>
            <w:r>
              <w:rPr>
                <w:sz w:val="18"/>
              </w:rPr>
              <w:t>-0,4 %</w:t>
            </w:r>
          </w:p>
        </w:tc>
      </w:tr>
      <w:tr w:rsidR="00855697" w14:paraId="6F7C20CC" w14:textId="77777777">
        <w:trPr>
          <w:cantSplit/>
          <w:jc w:val="center"/>
        </w:trPr>
        <w:tc>
          <w:tcPr>
            <w:tcW w:w="2041" w:type="dxa"/>
            <w:noWrap/>
          </w:tcPr>
          <w:p w14:paraId="285733C1" w14:textId="77777777" w:rsidR="00A37447" w:rsidRDefault="00A37447">
            <w:pPr>
              <w:keepNext/>
            </w:pPr>
            <w:r>
              <w:rPr>
                <w:b/>
                <w:sz w:val="18"/>
              </w:rPr>
              <w:t>Total mundial</w:t>
            </w:r>
          </w:p>
        </w:tc>
        <w:tc>
          <w:tcPr>
            <w:tcW w:w="964" w:type="dxa"/>
            <w:noWrap/>
          </w:tcPr>
          <w:p w14:paraId="34693C05" w14:textId="77777777" w:rsidR="00A37447" w:rsidRDefault="00A37447">
            <w:pPr>
              <w:keepNext/>
              <w:jc w:val="right"/>
            </w:pPr>
            <w:r>
              <w:rPr>
                <w:b/>
                <w:sz w:val="18"/>
              </w:rPr>
              <w:t>4.048,3</w:t>
            </w:r>
          </w:p>
        </w:tc>
        <w:tc>
          <w:tcPr>
            <w:tcW w:w="964" w:type="dxa"/>
            <w:noWrap/>
          </w:tcPr>
          <w:p w14:paraId="44305B8A" w14:textId="77777777" w:rsidR="00A37447" w:rsidRDefault="00A37447">
            <w:pPr>
              <w:keepNext/>
              <w:jc w:val="right"/>
            </w:pPr>
            <w:r>
              <w:rPr>
                <w:b/>
                <w:sz w:val="18"/>
              </w:rPr>
              <w:t>4.052,8</w:t>
            </w:r>
          </w:p>
        </w:tc>
        <w:tc>
          <w:tcPr>
            <w:tcW w:w="964" w:type="dxa"/>
            <w:noWrap/>
          </w:tcPr>
          <w:p w14:paraId="0E34A12A" w14:textId="77777777" w:rsidR="00A37447" w:rsidRDefault="00A37447">
            <w:pPr>
              <w:keepNext/>
              <w:jc w:val="right"/>
            </w:pPr>
            <w:r>
              <w:rPr>
                <w:b/>
                <w:sz w:val="18"/>
              </w:rPr>
              <w:t>4.066,1</w:t>
            </w:r>
          </w:p>
        </w:tc>
        <w:tc>
          <w:tcPr>
            <w:tcW w:w="964" w:type="dxa"/>
            <w:noWrap/>
          </w:tcPr>
          <w:p w14:paraId="14178E8B" w14:textId="77777777" w:rsidR="00A37447" w:rsidRDefault="00A37447">
            <w:pPr>
              <w:keepNext/>
              <w:jc w:val="right"/>
            </w:pPr>
            <w:r>
              <w:rPr>
                <w:b/>
                <w:sz w:val="18"/>
              </w:rPr>
              <w:t>4.143,2</w:t>
            </w:r>
          </w:p>
        </w:tc>
        <w:tc>
          <w:tcPr>
            <w:tcW w:w="964" w:type="dxa"/>
            <w:noWrap/>
          </w:tcPr>
          <w:p w14:paraId="66C42C82" w14:textId="77777777" w:rsidR="00A37447" w:rsidRDefault="00A37447">
            <w:pPr>
              <w:keepNext/>
              <w:jc w:val="right"/>
            </w:pPr>
            <w:r>
              <w:rPr>
                <w:b/>
                <w:sz w:val="18"/>
              </w:rPr>
              <w:t>4.196,5</w:t>
            </w:r>
          </w:p>
        </w:tc>
        <w:tc>
          <w:tcPr>
            <w:tcW w:w="1247" w:type="dxa"/>
            <w:noWrap/>
          </w:tcPr>
          <w:p w14:paraId="0EEC520B" w14:textId="77777777" w:rsidR="00A37447" w:rsidRDefault="00A37447">
            <w:pPr>
              <w:keepNext/>
              <w:jc w:val="right"/>
            </w:pPr>
            <w:r>
              <w:rPr>
                <w:b/>
                <w:sz w:val="18"/>
              </w:rPr>
              <w:t>1,3 %</w:t>
            </w:r>
          </w:p>
        </w:tc>
        <w:tc>
          <w:tcPr>
            <w:tcW w:w="1247" w:type="dxa"/>
            <w:noWrap/>
          </w:tcPr>
          <w:p w14:paraId="1B14292B" w14:textId="77777777" w:rsidR="00A37447" w:rsidRDefault="00A37447">
            <w:pPr>
              <w:keepNext/>
              <w:jc w:val="right"/>
            </w:pPr>
            <w:r>
              <w:rPr>
                <w:b/>
                <w:sz w:val="18"/>
              </w:rPr>
              <w:t>0,9 %</w:t>
            </w:r>
          </w:p>
        </w:tc>
      </w:tr>
    </w:tbl>
    <w:p w14:paraId="08032B92" w14:textId="77777777" w:rsidR="00A37447" w:rsidRPr="002620B6" w:rsidRDefault="00A37447">
      <w:pPr>
        <w:keepLines/>
        <w:spacing w:before="40" w:after="200"/>
        <w:jc w:val="right"/>
      </w:pPr>
      <w:r w:rsidRPr="002620B6">
        <w:rPr>
          <w:b/>
          <w:color w:val="404040"/>
          <w:sz w:val="15"/>
        </w:rPr>
        <w:t>FUENTE: Energy Institute Statistical Review of World Energy 2026</w:t>
      </w:r>
    </w:p>
    <w:p w14:paraId="7CAB4472" w14:textId="77777777" w:rsidR="00A37447" w:rsidRPr="0036111A" w:rsidRDefault="00A37447">
      <w:pPr>
        <w:pStyle w:val="Ttulo2"/>
        <w:rPr>
          <w:lang w:val="es-PE"/>
        </w:rPr>
      </w:pPr>
      <w:bookmarkStart w:id="54" w:name="_Toc235083050"/>
      <w:r w:rsidRPr="0036111A">
        <w:rPr>
          <w:lang w:val="es-PE"/>
        </w:rPr>
        <w:t>7.5. Consumo de gas natural</w:t>
      </w:r>
      <w:bookmarkEnd w:id="54"/>
    </w:p>
    <w:p w14:paraId="516DC366" w14:textId="61849E24" w:rsidR="00A37447" w:rsidRPr="0036111A" w:rsidRDefault="00A37447">
      <w:pPr>
        <w:keepLines/>
        <w:rPr>
          <w:lang w:val="es-PE"/>
        </w:rPr>
      </w:pPr>
      <w:r w:rsidRPr="0036111A">
        <w:rPr>
          <w:lang w:val="es-PE"/>
        </w:rPr>
        <w:t>El consumo mundial de gas natural totalizó 4.186 miles de millones de metros cúbicos en 2025 (405 giga pies cúbicos diarios, Gpcd), un aumento de 1 % respecto a 2024, por debajo de su promedio de la última década (2 %). La expansión se concentró en Europa, Medio Oriente y Norteamérica. Estados Unidos se mantuvo como el mayor consumidor mundial (88 Gpcd), seguido de Rusia y China. El gas siguió siendo, además, una fuente de dependencia energética: India y Europa importan cerca de la mitad del gas que consumen, y China más de un tercio.</w:t>
      </w:r>
    </w:p>
    <w:p w14:paraId="7AEDEECD" w14:textId="6AA52377" w:rsidR="00A37447" w:rsidRPr="0036111A" w:rsidRDefault="00A37447">
      <w:pPr>
        <w:keepLines/>
        <w:rPr>
          <w:lang w:val="es-PE"/>
        </w:rPr>
      </w:pPr>
      <w:r w:rsidRPr="0036111A">
        <w:rPr>
          <w:lang w:val="es-PE"/>
        </w:rPr>
        <w:lastRenderedPageBreak/>
        <w:t>En Sur y Centroamérica, el consumo de gas natural cayó 1 % en 2025, una variación cercana a la del Perú, donde el consumo interno retrocedió 2 %, arrastrado por la menor generación termoeléctrica, mientras el segmento industrial y los vinculados a la masificación mantuvieron su expansión.</w:t>
      </w:r>
    </w:p>
    <w:p w14:paraId="36519B02" w14:textId="64F564D7" w:rsidR="00A37447" w:rsidRDefault="00A37447" w:rsidP="00191FF7">
      <w:pPr>
        <w:spacing w:before="160"/>
        <w:jc w:val="center"/>
      </w:pPr>
      <w:r>
        <w:rPr>
          <w:noProof/>
        </w:rPr>
        <w:drawing>
          <wp:inline distT="0" distB="0" distL="0" distR="0" wp14:anchorId="51252540" wp14:editId="1912DC66">
            <wp:extent cx="5400000" cy="3066269"/>
            <wp:effectExtent l="0" t="0" r="0" b="0"/>
            <wp:docPr id="90125" name="Picture 9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14.png"/>
                    <pic:cNvPicPr/>
                  </pic:nvPicPr>
                  <pic:blipFill>
                    <a:blip r:embed="rId125"/>
                    <a:stretch>
                      <a:fillRect/>
                    </a:stretch>
                  </pic:blipFill>
                  <pic:spPr>
                    <a:xfrm>
                      <a:off x="0" y="0"/>
                      <a:ext cx="5400000" cy="3066269"/>
                    </a:xfrm>
                    <a:prstGeom prst="rect">
                      <a:avLst/>
                    </a:prstGeom>
                  </pic:spPr>
                </pic:pic>
              </a:graphicData>
            </a:graphic>
          </wp:inline>
        </w:drawing>
      </w:r>
    </w:p>
    <w:p w14:paraId="73B466CD" w14:textId="77777777" w:rsidR="00A37447" w:rsidRPr="0036111A" w:rsidRDefault="00A37447">
      <w:pPr>
        <w:pStyle w:val="Ttulo2"/>
        <w:rPr>
          <w:lang w:val="es-PE"/>
        </w:rPr>
      </w:pPr>
      <w:r w:rsidRPr="0036111A">
        <w:rPr>
          <w:lang w:val="es-PE"/>
        </w:rPr>
        <w:t xml:space="preserve">7.6. Precios internacionales del gas natural y de otros </w:t>
      </w:r>
      <w:r w:rsidRPr="004F3DB7">
        <w:rPr>
          <w:i/>
          <w:iCs/>
          <w:lang w:val="es-PE"/>
        </w:rPr>
        <w:t>commodities</w:t>
      </w:r>
      <w:r w:rsidRPr="0036111A">
        <w:rPr>
          <w:lang w:val="es-PE"/>
        </w:rPr>
        <w:t xml:space="preserve"> energéticos</w:t>
      </w:r>
    </w:p>
    <w:p w14:paraId="3B80CDF1" w14:textId="77777777" w:rsidR="00191FF7" w:rsidRDefault="00A37447">
      <w:pPr>
        <w:keepLines/>
        <w:rPr>
          <w:lang w:val="es-PE"/>
        </w:rPr>
      </w:pPr>
      <w:r w:rsidRPr="0036111A">
        <w:rPr>
          <w:lang w:val="es-PE"/>
        </w:rPr>
        <w:t>Los precios internacionales de la energía mostraron trayectorias divergentes en 2025. El marcador estadounidense Henry Hub promedió US$ 3,53 por millón de BTU (MMBTU), un incremento de 57 % respecto al mínimo histórico de 2024, impulsado por la mayor demanda de las plantas exportadoras de gas natural licuado (GNL). Las cotizaciones europeas y asiáticas, en cambio, subieron con moderación: el Title Transfer Facility (TTF) neerlandés promedió US$ 11,89 por MMBTU (+9 %) y el Japan Korea Marker (JKM) asiático US$ 12,16 (+2 %).</w:t>
      </w:r>
    </w:p>
    <w:p w14:paraId="6AD8C6D3" w14:textId="3A53177C" w:rsidR="00A37447" w:rsidRPr="0036111A" w:rsidRDefault="00A37447">
      <w:pPr>
        <w:keepLines/>
        <w:rPr>
          <w:lang w:val="es-PE"/>
        </w:rPr>
      </w:pPr>
      <w:r w:rsidRPr="0036111A">
        <w:rPr>
          <w:lang w:val="es-PE"/>
        </w:rPr>
        <w:t xml:space="preserve">La divergencia se explica porque el Henry Hub refleja el mercado interno estadounidense </w:t>
      </w:r>
      <w:r>
        <w:rPr>
          <w:lang w:val="es-PE"/>
        </w:rPr>
        <w:t>–</w:t>
      </w:r>
      <w:r w:rsidRPr="0036111A">
        <w:rPr>
          <w:lang w:val="es-PE"/>
        </w:rPr>
        <w:t>donde la demanda de las plantas de licuefacción creció con la entrada de nueva capacidad exportadora y los precios partían de una base excepcionalmente baja</w:t>
      </w:r>
      <w:r>
        <w:rPr>
          <w:lang w:val="es-PE"/>
        </w:rPr>
        <w:t>–</w:t>
      </w:r>
      <w:r w:rsidRPr="0036111A">
        <w:rPr>
          <w:lang w:val="es-PE"/>
        </w:rPr>
        <w:t>, mientras que esa misma oferta adicional de GNL llegó a los mercados importadores de Europa y Asia, conteniendo el TTF y el JKM en un contexto de clima templado, mayor generación renovable e inventarios europeos holgados.</w:t>
      </w:r>
    </w:p>
    <w:p w14:paraId="19506C57" w14:textId="69545B98" w:rsidR="00A37447" w:rsidRPr="0036111A" w:rsidRDefault="00A37447">
      <w:pPr>
        <w:keepLines/>
        <w:rPr>
          <w:lang w:val="es-PE"/>
        </w:rPr>
      </w:pPr>
      <w:r w:rsidRPr="0036111A">
        <w:rPr>
          <w:lang w:val="es-PE"/>
        </w:rPr>
        <w:t xml:space="preserve">En contraste, el precio del petróleo WTI retrocedió 14 %, hasta un promedio de US$ 64,9 por barril, ante una oferta abundante </w:t>
      </w:r>
      <w:r>
        <w:rPr>
          <w:lang w:val="es-PE"/>
        </w:rPr>
        <w:t>–</w:t>
      </w:r>
      <w:r w:rsidRPr="0036111A">
        <w:rPr>
          <w:lang w:val="es-PE"/>
        </w:rPr>
        <w:t>encabezada por productores fuera de la OPEP+</w:t>
      </w:r>
      <w:r>
        <w:rPr>
          <w:lang w:val="es-PE"/>
        </w:rPr>
        <w:t>–</w:t>
      </w:r>
      <w:r w:rsidRPr="0036111A">
        <w:rPr>
          <w:lang w:val="es-PE"/>
        </w:rPr>
        <w:t xml:space="preserve"> y una demanda global moderada. El carbón Newcastle (Australia) cayó 24 %, hasta US$ 104 por tonelada, presionado por la menor demanda asiática y la elevada disponibilidad de gas.</w:t>
      </w:r>
    </w:p>
    <w:p w14:paraId="7D8DDC14" w14:textId="77777777" w:rsidR="00C75A27" w:rsidRDefault="00D4093E">
      <w:pPr>
        <w:spacing w:before="160"/>
        <w:jc w:val="center"/>
      </w:pPr>
      <w:r>
        <w:rPr>
          <w:noProof/>
        </w:rPr>
        <w:lastRenderedPageBreak/>
        <w:drawing>
          <wp:inline distT="0" distB="0" distL="0" distR="0" wp14:anchorId="039DE7DC" wp14:editId="5BD49C3E">
            <wp:extent cx="4320000" cy="2700000"/>
            <wp:effectExtent l="0" t="0" r="0" b="0"/>
            <wp:docPr id="90126" name="Picture 9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15.png"/>
                    <pic:cNvPicPr/>
                  </pic:nvPicPr>
                  <pic:blipFill>
                    <a:blip r:embed="rId126"/>
                    <a:stretch>
                      <a:fillRect/>
                    </a:stretch>
                  </pic:blipFill>
                  <pic:spPr>
                    <a:xfrm>
                      <a:off x="0" y="0"/>
                      <a:ext cx="4320000" cy="2700000"/>
                    </a:xfrm>
                    <a:prstGeom prst="rect">
                      <a:avLst/>
                    </a:prstGeom>
                  </pic:spPr>
                </pic:pic>
              </a:graphicData>
            </a:graphic>
          </wp:inline>
        </w:drawing>
      </w:r>
    </w:p>
    <w:p w14:paraId="4640E8C5" w14:textId="77777777" w:rsidR="00C75A27" w:rsidRDefault="00D4093E">
      <w:pPr>
        <w:spacing w:before="160"/>
        <w:jc w:val="center"/>
      </w:pPr>
      <w:r>
        <w:rPr>
          <w:noProof/>
        </w:rPr>
        <w:drawing>
          <wp:inline distT="0" distB="0" distL="0" distR="0" wp14:anchorId="067ACEA5" wp14:editId="3056346F">
            <wp:extent cx="4320000" cy="2724076"/>
            <wp:effectExtent l="0" t="0" r="0" b="0"/>
            <wp:docPr id="90127" name="Picture 9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16.png"/>
                    <pic:cNvPicPr/>
                  </pic:nvPicPr>
                  <pic:blipFill>
                    <a:blip r:embed="rId127"/>
                    <a:stretch>
                      <a:fillRect/>
                    </a:stretch>
                  </pic:blipFill>
                  <pic:spPr>
                    <a:xfrm>
                      <a:off x="0" y="0"/>
                      <a:ext cx="4320000" cy="2724076"/>
                    </a:xfrm>
                    <a:prstGeom prst="rect">
                      <a:avLst/>
                    </a:prstGeom>
                  </pic:spPr>
                </pic:pic>
              </a:graphicData>
            </a:graphic>
          </wp:inline>
        </w:drawing>
      </w:r>
    </w:p>
    <w:p w14:paraId="3D58F76F" w14:textId="77777777" w:rsidR="00A37447" w:rsidRDefault="00A37447">
      <w:pPr>
        <w:spacing w:before="160"/>
        <w:jc w:val="center"/>
      </w:pPr>
    </w:p>
    <w:p w14:paraId="432EB0FF" w14:textId="77777777" w:rsidR="00C75A27" w:rsidRDefault="00D4093E">
      <w:pPr>
        <w:spacing w:before="160"/>
        <w:jc w:val="center"/>
      </w:pPr>
      <w:r>
        <w:rPr>
          <w:noProof/>
        </w:rPr>
        <w:drawing>
          <wp:inline distT="0" distB="0" distL="0" distR="0" wp14:anchorId="76264B68" wp14:editId="3627C0C1">
            <wp:extent cx="4320000" cy="2696103"/>
            <wp:effectExtent l="0" t="0" r="0" b="0"/>
            <wp:docPr id="90128" name="Picture 9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17.png"/>
                    <pic:cNvPicPr/>
                  </pic:nvPicPr>
                  <pic:blipFill>
                    <a:blip r:embed="rId128"/>
                    <a:stretch>
                      <a:fillRect/>
                    </a:stretch>
                  </pic:blipFill>
                  <pic:spPr>
                    <a:xfrm>
                      <a:off x="0" y="0"/>
                      <a:ext cx="4320000" cy="2696103"/>
                    </a:xfrm>
                    <a:prstGeom prst="rect">
                      <a:avLst/>
                    </a:prstGeom>
                  </pic:spPr>
                </pic:pic>
              </a:graphicData>
            </a:graphic>
          </wp:inline>
        </w:drawing>
      </w:r>
    </w:p>
    <w:p w14:paraId="714901E6" w14:textId="77777777" w:rsidR="00C75A27" w:rsidRDefault="00D4093E">
      <w:pPr>
        <w:spacing w:before="160"/>
        <w:jc w:val="center"/>
      </w:pPr>
      <w:r>
        <w:rPr>
          <w:noProof/>
        </w:rPr>
        <w:lastRenderedPageBreak/>
        <w:drawing>
          <wp:inline distT="0" distB="0" distL="0" distR="0" wp14:anchorId="2E1A7C37" wp14:editId="491C0420">
            <wp:extent cx="4320000" cy="2694159"/>
            <wp:effectExtent l="0" t="0" r="0" b="0"/>
            <wp:docPr id="90129" name="Picture 9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18.png"/>
                    <pic:cNvPicPr/>
                  </pic:nvPicPr>
                  <pic:blipFill>
                    <a:blip r:embed="rId129"/>
                    <a:stretch>
                      <a:fillRect/>
                    </a:stretch>
                  </pic:blipFill>
                  <pic:spPr>
                    <a:xfrm>
                      <a:off x="0" y="0"/>
                      <a:ext cx="4320000" cy="2694159"/>
                    </a:xfrm>
                    <a:prstGeom prst="rect">
                      <a:avLst/>
                    </a:prstGeom>
                  </pic:spPr>
                </pic:pic>
              </a:graphicData>
            </a:graphic>
          </wp:inline>
        </w:drawing>
      </w:r>
    </w:p>
    <w:p w14:paraId="763285C4" w14:textId="77777777" w:rsidR="00A37447" w:rsidRDefault="00A37447">
      <w:pPr>
        <w:spacing w:before="160"/>
        <w:jc w:val="center"/>
      </w:pPr>
    </w:p>
    <w:p w14:paraId="18DAB78A" w14:textId="77777777" w:rsidR="00C75A27" w:rsidRDefault="00D4093E">
      <w:pPr>
        <w:spacing w:before="160"/>
        <w:jc w:val="center"/>
      </w:pPr>
      <w:r>
        <w:rPr>
          <w:noProof/>
        </w:rPr>
        <w:drawing>
          <wp:inline distT="0" distB="0" distL="0" distR="0" wp14:anchorId="52D717AA" wp14:editId="20B3BF02">
            <wp:extent cx="4320000" cy="2726122"/>
            <wp:effectExtent l="0" t="0" r="0" b="0"/>
            <wp:docPr id="90130" name="Picture 9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19.png"/>
                    <pic:cNvPicPr/>
                  </pic:nvPicPr>
                  <pic:blipFill>
                    <a:blip r:embed="rId130"/>
                    <a:stretch>
                      <a:fillRect/>
                    </a:stretch>
                  </pic:blipFill>
                  <pic:spPr>
                    <a:xfrm>
                      <a:off x="0" y="0"/>
                      <a:ext cx="4320000" cy="2726122"/>
                    </a:xfrm>
                    <a:prstGeom prst="rect">
                      <a:avLst/>
                    </a:prstGeom>
                  </pic:spPr>
                </pic:pic>
              </a:graphicData>
            </a:graphic>
          </wp:inline>
        </w:drawing>
      </w:r>
    </w:p>
    <w:p w14:paraId="19BFDAAA" w14:textId="77777777" w:rsidR="00C75A27" w:rsidRDefault="00D4093E">
      <w:pPr>
        <w:spacing w:before="160"/>
        <w:jc w:val="center"/>
      </w:pPr>
      <w:r>
        <w:rPr>
          <w:noProof/>
        </w:rPr>
        <w:drawing>
          <wp:inline distT="0" distB="0" distL="0" distR="0" wp14:anchorId="2AB378EF" wp14:editId="42332E0F">
            <wp:extent cx="4320000" cy="2700000"/>
            <wp:effectExtent l="0" t="0" r="0" b="0"/>
            <wp:docPr id="90131" name="Picture 9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20.png"/>
                    <pic:cNvPicPr/>
                  </pic:nvPicPr>
                  <pic:blipFill>
                    <a:blip r:embed="rId131"/>
                    <a:stretch>
                      <a:fillRect/>
                    </a:stretch>
                  </pic:blipFill>
                  <pic:spPr>
                    <a:xfrm>
                      <a:off x="0" y="0"/>
                      <a:ext cx="4320000" cy="2700000"/>
                    </a:xfrm>
                    <a:prstGeom prst="rect">
                      <a:avLst/>
                    </a:prstGeom>
                  </pic:spPr>
                </pic:pic>
              </a:graphicData>
            </a:graphic>
          </wp:inline>
        </w:drawing>
      </w:r>
    </w:p>
    <w:p w14:paraId="157C99E1" w14:textId="77777777" w:rsidR="00A37447" w:rsidRDefault="00A37447">
      <w:pPr>
        <w:spacing w:before="160"/>
        <w:jc w:val="center"/>
      </w:pPr>
    </w:p>
    <w:p w14:paraId="51D9DB3A" w14:textId="77777777" w:rsidR="00A37447" w:rsidRPr="0036111A" w:rsidRDefault="00A37447">
      <w:pPr>
        <w:pStyle w:val="Ttulo2"/>
        <w:rPr>
          <w:lang w:val="es-PE"/>
        </w:rPr>
      </w:pPr>
      <w:bookmarkStart w:id="55" w:name="_Toc235083052"/>
      <w:r w:rsidRPr="0036111A">
        <w:rPr>
          <w:lang w:val="es-PE"/>
        </w:rPr>
        <w:t>7.7. Comercio internacional de gas natural</w:t>
      </w:r>
      <w:bookmarkEnd w:id="55"/>
    </w:p>
    <w:p w14:paraId="2DBC11D2" w14:textId="57D3D251" w:rsidR="00A37447" w:rsidRPr="0036111A" w:rsidRDefault="00A37447">
      <w:pPr>
        <w:keepLines/>
        <w:rPr>
          <w:lang w:val="es-PE"/>
        </w:rPr>
      </w:pPr>
      <w:r w:rsidRPr="0036111A">
        <w:rPr>
          <w:lang w:val="es-PE"/>
        </w:rPr>
        <w:t>El comercio internacional de gas natural totalizó 1.146 miles de millones de metros cúbicos en 2025, un aumento de 1 % respecto a 2024. El año marcó un hito: por primera vez, el volumen comerciado como GNL superó al transportado por gasoductos, reflejo de una década de reconfiguración del mercado global hacia el gas licuado.</w:t>
      </w:r>
    </w:p>
    <w:p w14:paraId="703461B4" w14:textId="644AD48C" w:rsidR="00C75A27" w:rsidRDefault="00D4093E">
      <w:pPr>
        <w:spacing w:before="160"/>
        <w:jc w:val="center"/>
      </w:pPr>
      <w:r>
        <w:rPr>
          <w:noProof/>
        </w:rPr>
        <w:drawing>
          <wp:inline distT="0" distB="0" distL="0" distR="0" wp14:anchorId="407AC8FF" wp14:editId="417DA66B">
            <wp:extent cx="4320000" cy="2863365"/>
            <wp:effectExtent l="0" t="0" r="0" b="0"/>
            <wp:docPr id="2110891839" name="Imagen 211089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21.png"/>
                    <pic:cNvPicPr/>
                  </pic:nvPicPr>
                  <pic:blipFill>
                    <a:blip r:embed="rId132"/>
                    <a:stretch>
                      <a:fillRect/>
                    </a:stretch>
                  </pic:blipFill>
                  <pic:spPr>
                    <a:xfrm>
                      <a:off x="0" y="0"/>
                      <a:ext cx="4320000" cy="2863365"/>
                    </a:xfrm>
                    <a:prstGeom prst="rect">
                      <a:avLst/>
                    </a:prstGeom>
                  </pic:spPr>
                </pic:pic>
              </a:graphicData>
            </a:graphic>
          </wp:inline>
        </w:drawing>
      </w:r>
    </w:p>
    <w:p w14:paraId="24952E34" w14:textId="77777777" w:rsidR="00C75A27" w:rsidRDefault="00D4093E">
      <w:pPr>
        <w:spacing w:before="160"/>
        <w:jc w:val="center"/>
      </w:pPr>
      <w:r>
        <w:rPr>
          <w:noProof/>
        </w:rPr>
        <w:drawing>
          <wp:inline distT="0" distB="0" distL="0" distR="0" wp14:anchorId="0C66312A" wp14:editId="4778C703">
            <wp:extent cx="4320000" cy="2698051"/>
            <wp:effectExtent l="0" t="0" r="0" b="0"/>
            <wp:docPr id="90133" name="Picture 9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22.png"/>
                    <pic:cNvPicPr/>
                  </pic:nvPicPr>
                  <pic:blipFill>
                    <a:blip r:embed="rId133"/>
                    <a:stretch>
                      <a:fillRect/>
                    </a:stretch>
                  </pic:blipFill>
                  <pic:spPr>
                    <a:xfrm>
                      <a:off x="0" y="0"/>
                      <a:ext cx="4320000" cy="2698051"/>
                    </a:xfrm>
                    <a:prstGeom prst="rect">
                      <a:avLst/>
                    </a:prstGeom>
                  </pic:spPr>
                </pic:pic>
              </a:graphicData>
            </a:graphic>
          </wp:inline>
        </w:drawing>
      </w:r>
    </w:p>
    <w:p w14:paraId="23045F49" w14:textId="074F5CE8" w:rsidR="00A37447" w:rsidRDefault="00A37447">
      <w:pPr>
        <w:spacing w:before="160"/>
        <w:jc w:val="center"/>
      </w:pPr>
    </w:p>
    <w:p w14:paraId="63175911" w14:textId="77777777" w:rsidR="00A37447" w:rsidRPr="0036111A" w:rsidRDefault="00A37447">
      <w:pPr>
        <w:pStyle w:val="Ttulo3"/>
        <w:rPr>
          <w:lang w:val="es-PE"/>
        </w:rPr>
      </w:pPr>
      <w:bookmarkStart w:id="56" w:name="_Toc235083053"/>
      <w:r w:rsidRPr="0036111A">
        <w:rPr>
          <w:lang w:val="es-PE"/>
        </w:rPr>
        <w:t>7.7.1. Comercio por gasoductos</w:t>
      </w:r>
      <w:bookmarkEnd w:id="56"/>
    </w:p>
    <w:p w14:paraId="11C0D3D2" w14:textId="26984C68" w:rsidR="00A37447" w:rsidRPr="0036111A" w:rsidRDefault="00A37447">
      <w:pPr>
        <w:keepLines/>
        <w:rPr>
          <w:lang w:val="es-PE"/>
        </w:rPr>
      </w:pPr>
      <w:r w:rsidRPr="0036111A">
        <w:rPr>
          <w:lang w:val="es-PE"/>
        </w:rPr>
        <w:t xml:space="preserve">El comercio por gasoductos retrocedió 4 % en 2025. La Unión Europea redujo nuevamente sus importaciones por ducto, consolidando la sustitución del gas ruso: Noruega se mantuvo como su principal proveedor, posición que sostiene desde 2022. Los flujos rusos continuaron reorientándose hacia Asia a través de Power of Siberia </w:t>
      </w:r>
      <w:r>
        <w:rPr>
          <w:lang w:val="es-PE"/>
        </w:rPr>
        <w:t>–</w:t>
      </w:r>
      <w:r w:rsidRPr="0036111A">
        <w:rPr>
          <w:lang w:val="es-PE"/>
        </w:rPr>
        <w:t>el gasoducto de Gazprom</w:t>
      </w:r>
      <w:r>
        <w:rPr>
          <w:lang w:val="es-PE"/>
        </w:rPr>
        <w:t>,</w:t>
      </w:r>
      <w:r w:rsidRPr="0036111A">
        <w:rPr>
          <w:lang w:val="es-PE"/>
        </w:rPr>
        <w:t xml:space="preserve"> de unos 3.000 kilómetros</w:t>
      </w:r>
      <w:r>
        <w:rPr>
          <w:lang w:val="es-PE"/>
        </w:rPr>
        <w:t>,</w:t>
      </w:r>
      <w:r w:rsidRPr="0036111A">
        <w:rPr>
          <w:lang w:val="es-PE"/>
        </w:rPr>
        <w:t xml:space="preserve"> que conecta los yacimientos de Siberia Oriental con el noreste de China, operativo desde fines de 2019</w:t>
      </w:r>
      <w:r>
        <w:rPr>
          <w:lang w:val="es-PE"/>
        </w:rPr>
        <w:t>–</w:t>
      </w:r>
      <w:r w:rsidRPr="0036111A">
        <w:rPr>
          <w:lang w:val="es-PE"/>
        </w:rPr>
        <w:t>.</w:t>
      </w:r>
    </w:p>
    <w:p w14:paraId="0A1A4574" w14:textId="77777777" w:rsidR="00C75A27" w:rsidRDefault="00D4093E">
      <w:pPr>
        <w:spacing w:before="160"/>
        <w:jc w:val="center"/>
      </w:pPr>
      <w:r>
        <w:rPr>
          <w:noProof/>
        </w:rPr>
        <w:lastRenderedPageBreak/>
        <w:drawing>
          <wp:inline distT="0" distB="0" distL="0" distR="0" wp14:anchorId="7F77A51D" wp14:editId="2C06405F">
            <wp:extent cx="4320000" cy="2682555"/>
            <wp:effectExtent l="0" t="0" r="0" b="0"/>
            <wp:docPr id="90134" name="Picture 9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23.png"/>
                    <pic:cNvPicPr/>
                  </pic:nvPicPr>
                  <pic:blipFill>
                    <a:blip r:embed="rId134"/>
                    <a:stretch>
                      <a:fillRect/>
                    </a:stretch>
                  </pic:blipFill>
                  <pic:spPr>
                    <a:xfrm>
                      <a:off x="0" y="0"/>
                      <a:ext cx="4320000" cy="2682555"/>
                    </a:xfrm>
                    <a:prstGeom prst="rect">
                      <a:avLst/>
                    </a:prstGeom>
                  </pic:spPr>
                </pic:pic>
              </a:graphicData>
            </a:graphic>
          </wp:inline>
        </w:drawing>
      </w:r>
    </w:p>
    <w:p w14:paraId="2CE72E56" w14:textId="77777777" w:rsidR="00C75A27" w:rsidRDefault="00D4093E">
      <w:pPr>
        <w:spacing w:before="160"/>
        <w:jc w:val="center"/>
      </w:pPr>
      <w:r>
        <w:rPr>
          <w:noProof/>
        </w:rPr>
        <w:drawing>
          <wp:inline distT="0" distB="0" distL="0" distR="0" wp14:anchorId="06E059A7" wp14:editId="67DC06AD">
            <wp:extent cx="4320000" cy="2682555"/>
            <wp:effectExtent l="0" t="0" r="0" b="0"/>
            <wp:docPr id="90135" name="Picture 9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24.png"/>
                    <pic:cNvPicPr/>
                  </pic:nvPicPr>
                  <pic:blipFill>
                    <a:blip r:embed="rId135"/>
                    <a:stretch>
                      <a:fillRect/>
                    </a:stretch>
                  </pic:blipFill>
                  <pic:spPr>
                    <a:xfrm>
                      <a:off x="0" y="0"/>
                      <a:ext cx="4320000" cy="2682555"/>
                    </a:xfrm>
                    <a:prstGeom prst="rect">
                      <a:avLst/>
                    </a:prstGeom>
                  </pic:spPr>
                </pic:pic>
              </a:graphicData>
            </a:graphic>
          </wp:inline>
        </w:drawing>
      </w:r>
    </w:p>
    <w:p w14:paraId="2D8ACF52" w14:textId="48168F4A" w:rsidR="00A37447" w:rsidRDefault="00A37447">
      <w:pPr>
        <w:spacing w:before="160"/>
        <w:jc w:val="center"/>
      </w:pPr>
    </w:p>
    <w:p w14:paraId="3BE95FC0" w14:textId="77777777" w:rsidR="00C75A27" w:rsidRDefault="00D4093E">
      <w:pPr>
        <w:spacing w:before="160"/>
        <w:jc w:val="center"/>
      </w:pPr>
      <w:r>
        <w:rPr>
          <w:noProof/>
        </w:rPr>
        <w:drawing>
          <wp:inline distT="0" distB="0" distL="0" distR="0" wp14:anchorId="7EF8FEB9" wp14:editId="31510448">
            <wp:extent cx="4320000" cy="2682555"/>
            <wp:effectExtent l="0" t="0" r="0" b="0"/>
            <wp:docPr id="90136" name="Picture 9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25.png"/>
                    <pic:cNvPicPr/>
                  </pic:nvPicPr>
                  <pic:blipFill>
                    <a:blip r:embed="rId136"/>
                    <a:stretch>
                      <a:fillRect/>
                    </a:stretch>
                  </pic:blipFill>
                  <pic:spPr>
                    <a:xfrm>
                      <a:off x="0" y="0"/>
                      <a:ext cx="4320000" cy="2682555"/>
                    </a:xfrm>
                    <a:prstGeom prst="rect">
                      <a:avLst/>
                    </a:prstGeom>
                  </pic:spPr>
                </pic:pic>
              </a:graphicData>
            </a:graphic>
          </wp:inline>
        </w:drawing>
      </w:r>
    </w:p>
    <w:p w14:paraId="030B1FAC" w14:textId="77777777" w:rsidR="00C75A27" w:rsidRDefault="00D4093E">
      <w:pPr>
        <w:spacing w:before="160"/>
        <w:jc w:val="center"/>
      </w:pPr>
      <w:r>
        <w:rPr>
          <w:noProof/>
        </w:rPr>
        <w:lastRenderedPageBreak/>
        <w:drawing>
          <wp:inline distT="0" distB="0" distL="0" distR="0" wp14:anchorId="0C1E086A" wp14:editId="77357E35">
            <wp:extent cx="4320000" cy="2682555"/>
            <wp:effectExtent l="0" t="0" r="0" b="0"/>
            <wp:docPr id="90137" name="Picture 9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26.png"/>
                    <pic:cNvPicPr/>
                  </pic:nvPicPr>
                  <pic:blipFill>
                    <a:blip r:embed="rId137"/>
                    <a:stretch>
                      <a:fillRect/>
                    </a:stretch>
                  </pic:blipFill>
                  <pic:spPr>
                    <a:xfrm>
                      <a:off x="0" y="0"/>
                      <a:ext cx="4320000" cy="2682555"/>
                    </a:xfrm>
                    <a:prstGeom prst="rect">
                      <a:avLst/>
                    </a:prstGeom>
                  </pic:spPr>
                </pic:pic>
              </a:graphicData>
            </a:graphic>
          </wp:inline>
        </w:drawing>
      </w:r>
    </w:p>
    <w:p w14:paraId="5903B5CB" w14:textId="3382D188" w:rsidR="00A37447" w:rsidRDefault="00A37447">
      <w:pPr>
        <w:spacing w:before="160"/>
        <w:jc w:val="center"/>
      </w:pPr>
    </w:p>
    <w:p w14:paraId="7C80FED5" w14:textId="77777777" w:rsidR="00A37447" w:rsidRPr="0036111A" w:rsidRDefault="00A37447">
      <w:pPr>
        <w:pStyle w:val="Ttulo3"/>
        <w:rPr>
          <w:lang w:val="es-PE"/>
        </w:rPr>
      </w:pPr>
      <w:bookmarkStart w:id="57" w:name="_Toc235083054"/>
      <w:r w:rsidRPr="0036111A">
        <w:rPr>
          <w:lang w:val="es-PE"/>
        </w:rPr>
        <w:t>7.7.2. Comercio de GNL</w:t>
      </w:r>
      <w:bookmarkEnd w:id="57"/>
    </w:p>
    <w:p w14:paraId="7BBD3626" w14:textId="1B7DC8A6" w:rsidR="00A37447" w:rsidRPr="0036111A" w:rsidRDefault="00A37447">
      <w:pPr>
        <w:keepLines/>
        <w:rPr>
          <w:lang w:val="es-PE"/>
        </w:rPr>
      </w:pPr>
      <w:r w:rsidRPr="0036111A">
        <w:rPr>
          <w:lang w:val="es-PE"/>
        </w:rPr>
        <w:t>El comercio de GNL creció 6 % en 2025, el mayor ritmo desde 2022. Estados Unidos amplió su liderazgo exportador con 25 % del total, seguido de Catar</w:t>
      </w:r>
      <w:r w:rsidR="00062D7E">
        <w:rPr>
          <w:lang w:val="es-PE"/>
        </w:rPr>
        <w:t xml:space="preserve"> </w:t>
      </w:r>
      <w:r w:rsidRPr="0036111A">
        <w:rPr>
          <w:lang w:val="es-PE"/>
        </w:rPr>
        <w:t>y Australia</w:t>
      </w:r>
      <w:r w:rsidR="00062D7E">
        <w:rPr>
          <w:lang w:val="es-PE"/>
        </w:rPr>
        <w:t xml:space="preserve">. </w:t>
      </w:r>
      <w:r w:rsidRPr="0036111A">
        <w:rPr>
          <w:lang w:val="es-PE"/>
        </w:rPr>
        <w:t xml:space="preserve">Del lado importador, Europa registró el mayor incremento para recomponer inventarios, mientras China </w:t>
      </w:r>
      <w:r>
        <w:rPr>
          <w:lang w:val="es-PE"/>
        </w:rPr>
        <w:t>–</w:t>
      </w:r>
      <w:r w:rsidRPr="0036111A">
        <w:rPr>
          <w:lang w:val="es-PE"/>
        </w:rPr>
        <w:t>aun siendo el principal país importador</w:t>
      </w:r>
      <w:r>
        <w:rPr>
          <w:lang w:val="es-PE"/>
        </w:rPr>
        <w:t>–</w:t>
      </w:r>
      <w:r w:rsidRPr="0036111A">
        <w:rPr>
          <w:lang w:val="es-PE"/>
        </w:rPr>
        <w:t xml:space="preserve"> redujo sus compras 14 % ante una mayor producción doméstica y más gas por ducto desde Rusia. Destaca el desplome de los flujos de GNL estadounidense hacia China</w:t>
      </w:r>
      <w:r w:rsidR="00062D7E">
        <w:rPr>
          <w:lang w:val="es-PE"/>
        </w:rPr>
        <w:t xml:space="preserve">, </w:t>
      </w:r>
      <w:r w:rsidRPr="0036111A">
        <w:rPr>
          <w:lang w:val="es-PE"/>
        </w:rPr>
        <w:t>en el contexto de las tensiones comerciales entre ambos países.</w:t>
      </w:r>
    </w:p>
    <w:p w14:paraId="5CCAB192" w14:textId="43873E54" w:rsidR="00C75A27" w:rsidRDefault="00D4093E">
      <w:pPr>
        <w:spacing w:before="160"/>
        <w:jc w:val="center"/>
      </w:pPr>
      <w:r>
        <w:rPr>
          <w:noProof/>
        </w:rPr>
        <w:drawing>
          <wp:inline distT="0" distB="0" distL="0" distR="0" wp14:anchorId="5A379DD4" wp14:editId="22AEC17B">
            <wp:extent cx="4320000" cy="2688345"/>
            <wp:effectExtent l="0" t="0" r="0" b="0"/>
            <wp:docPr id="2110891840" name="Imagen 211089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27.png"/>
                    <pic:cNvPicPr/>
                  </pic:nvPicPr>
                  <pic:blipFill>
                    <a:blip r:embed="rId138"/>
                    <a:stretch>
                      <a:fillRect/>
                    </a:stretch>
                  </pic:blipFill>
                  <pic:spPr>
                    <a:xfrm>
                      <a:off x="0" y="0"/>
                      <a:ext cx="4320000" cy="2688345"/>
                    </a:xfrm>
                    <a:prstGeom prst="rect">
                      <a:avLst/>
                    </a:prstGeom>
                  </pic:spPr>
                </pic:pic>
              </a:graphicData>
            </a:graphic>
          </wp:inline>
        </w:drawing>
      </w:r>
    </w:p>
    <w:p w14:paraId="670B0EB2" w14:textId="77777777" w:rsidR="00C75A27" w:rsidRDefault="00D4093E">
      <w:pPr>
        <w:spacing w:before="160"/>
        <w:jc w:val="center"/>
      </w:pPr>
      <w:r>
        <w:rPr>
          <w:noProof/>
        </w:rPr>
        <w:lastRenderedPageBreak/>
        <w:drawing>
          <wp:inline distT="0" distB="0" distL="0" distR="0" wp14:anchorId="25416201" wp14:editId="58597D6E">
            <wp:extent cx="4320000" cy="2682555"/>
            <wp:effectExtent l="0" t="0" r="0" b="0"/>
            <wp:docPr id="90139" name="Picture 9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28.png"/>
                    <pic:cNvPicPr/>
                  </pic:nvPicPr>
                  <pic:blipFill>
                    <a:blip r:embed="rId139"/>
                    <a:stretch>
                      <a:fillRect/>
                    </a:stretch>
                  </pic:blipFill>
                  <pic:spPr>
                    <a:xfrm>
                      <a:off x="0" y="0"/>
                      <a:ext cx="4320000" cy="2682555"/>
                    </a:xfrm>
                    <a:prstGeom prst="rect">
                      <a:avLst/>
                    </a:prstGeom>
                  </pic:spPr>
                </pic:pic>
              </a:graphicData>
            </a:graphic>
          </wp:inline>
        </w:drawing>
      </w:r>
    </w:p>
    <w:p w14:paraId="24D34AEA" w14:textId="77777777" w:rsidR="00A37447" w:rsidRDefault="00A37447">
      <w:pPr>
        <w:spacing w:before="160"/>
        <w:jc w:val="center"/>
      </w:pPr>
    </w:p>
    <w:p w14:paraId="2E3FBFA5" w14:textId="77777777" w:rsidR="00C75A27" w:rsidRDefault="00D4093E">
      <w:pPr>
        <w:spacing w:before="160"/>
        <w:jc w:val="center"/>
      </w:pPr>
      <w:r>
        <w:rPr>
          <w:noProof/>
        </w:rPr>
        <w:drawing>
          <wp:inline distT="0" distB="0" distL="0" distR="0" wp14:anchorId="7C2DC038" wp14:editId="02342DB1">
            <wp:extent cx="4320000" cy="2682555"/>
            <wp:effectExtent l="0" t="0" r="0" b="0"/>
            <wp:docPr id="90140" name="Picture 9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29.png"/>
                    <pic:cNvPicPr/>
                  </pic:nvPicPr>
                  <pic:blipFill>
                    <a:blip r:embed="rId140"/>
                    <a:stretch>
                      <a:fillRect/>
                    </a:stretch>
                  </pic:blipFill>
                  <pic:spPr>
                    <a:xfrm>
                      <a:off x="0" y="0"/>
                      <a:ext cx="4320000" cy="2682555"/>
                    </a:xfrm>
                    <a:prstGeom prst="rect">
                      <a:avLst/>
                    </a:prstGeom>
                  </pic:spPr>
                </pic:pic>
              </a:graphicData>
            </a:graphic>
          </wp:inline>
        </w:drawing>
      </w:r>
    </w:p>
    <w:p w14:paraId="5EA7F5E1" w14:textId="77777777" w:rsidR="00C75A27" w:rsidRDefault="00D4093E">
      <w:pPr>
        <w:spacing w:before="160"/>
        <w:jc w:val="center"/>
      </w:pPr>
      <w:r>
        <w:rPr>
          <w:noProof/>
        </w:rPr>
        <w:drawing>
          <wp:inline distT="0" distB="0" distL="0" distR="0" wp14:anchorId="26C990D5" wp14:editId="1DC5F155">
            <wp:extent cx="4320000" cy="2682555"/>
            <wp:effectExtent l="0" t="0" r="0" b="0"/>
            <wp:docPr id="90141" name="Picture 9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30.png"/>
                    <pic:cNvPicPr/>
                  </pic:nvPicPr>
                  <pic:blipFill>
                    <a:blip r:embed="rId141"/>
                    <a:stretch>
                      <a:fillRect/>
                    </a:stretch>
                  </pic:blipFill>
                  <pic:spPr>
                    <a:xfrm>
                      <a:off x="0" y="0"/>
                      <a:ext cx="4320000" cy="2682555"/>
                    </a:xfrm>
                    <a:prstGeom prst="rect">
                      <a:avLst/>
                    </a:prstGeom>
                  </pic:spPr>
                </pic:pic>
              </a:graphicData>
            </a:graphic>
          </wp:inline>
        </w:drawing>
      </w:r>
    </w:p>
    <w:p w14:paraId="329C97C0" w14:textId="77777777" w:rsidR="00A37447" w:rsidRDefault="00A37447">
      <w:pPr>
        <w:spacing w:before="160"/>
        <w:jc w:val="center"/>
      </w:pPr>
    </w:p>
    <w:p w14:paraId="52919096" w14:textId="77777777" w:rsidR="00A37447" w:rsidRPr="0036111A" w:rsidRDefault="00A37447">
      <w:pPr>
        <w:pStyle w:val="Ttulo2"/>
        <w:rPr>
          <w:lang w:val="es-PE"/>
        </w:rPr>
      </w:pPr>
      <w:bookmarkStart w:id="58" w:name="_Toc235083055"/>
      <w:r w:rsidRPr="0036111A">
        <w:rPr>
          <w:lang w:val="es-PE"/>
        </w:rPr>
        <w:lastRenderedPageBreak/>
        <w:t>7.8. Cifras de Sur y Centroamérica</w:t>
      </w:r>
      <w:bookmarkEnd w:id="58"/>
    </w:p>
    <w:p w14:paraId="3564B0D8" w14:textId="59B73530" w:rsidR="00A37447" w:rsidRPr="0036111A" w:rsidRDefault="00A37447">
      <w:pPr>
        <w:keepLines/>
        <w:rPr>
          <w:lang w:val="es-PE"/>
        </w:rPr>
      </w:pPr>
      <w:r w:rsidRPr="0036111A">
        <w:rPr>
          <w:highlight w:val="yellow"/>
          <w:lang w:val="es-PE"/>
        </w:rPr>
        <w:t>El consumo energético de Sur y Centroamérica creció 1 % en 2025, hasta 26 EJ. La producción de gas natural regional se mantuvo estable (15,8 Gpcd), sostenida por Argentina –donde Vaca Muerta llevó la producción a nuevos máximos y consolidó el superávit energético del país– frente a la declinación de Bolivia y Colombia. En el consumo de gas natural, el Perú y Argentina retrocedieron 2 %, mientras Brasil creció 6 %.</w:t>
      </w:r>
    </w:p>
    <w:p w14:paraId="72E12CF3" w14:textId="77777777" w:rsidR="00A37447" w:rsidRDefault="00A37447">
      <w:pPr>
        <w:spacing w:before="160"/>
        <w:jc w:val="center"/>
      </w:pPr>
      <w:r>
        <w:rPr>
          <w:noProof/>
        </w:rPr>
        <w:drawing>
          <wp:inline distT="0" distB="0" distL="0" distR="0" wp14:anchorId="4DC80BF7" wp14:editId="0E7FE484">
            <wp:extent cx="5400000" cy="3508399"/>
            <wp:effectExtent l="0" t="0" r="0" b="0"/>
            <wp:docPr id="90142" name="Picture 9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31.png"/>
                    <pic:cNvPicPr/>
                  </pic:nvPicPr>
                  <pic:blipFill>
                    <a:blip r:embed="rId142"/>
                    <a:stretch>
                      <a:fillRect/>
                    </a:stretch>
                  </pic:blipFill>
                  <pic:spPr>
                    <a:xfrm>
                      <a:off x="0" y="0"/>
                      <a:ext cx="5400000" cy="3508399"/>
                    </a:xfrm>
                    <a:prstGeom prst="rect">
                      <a:avLst/>
                    </a:prstGeom>
                  </pic:spPr>
                </pic:pic>
              </a:graphicData>
            </a:graphic>
          </wp:inline>
        </w:drawing>
      </w:r>
    </w:p>
    <w:p w14:paraId="4386685A" w14:textId="77777777" w:rsidR="00A37447" w:rsidRDefault="00A37447">
      <w:pPr>
        <w:spacing w:after="80"/>
      </w:pPr>
    </w:p>
    <w:p w14:paraId="6C90A9E1" w14:textId="64804D66" w:rsidR="00C75A27" w:rsidRDefault="00D4093E">
      <w:pPr>
        <w:spacing w:before="160"/>
        <w:jc w:val="center"/>
      </w:pPr>
      <w:r>
        <w:rPr>
          <w:noProof/>
        </w:rPr>
        <w:drawing>
          <wp:inline distT="0" distB="0" distL="0" distR="0" wp14:anchorId="5B6E5100" wp14:editId="32265DEB">
            <wp:extent cx="4320000" cy="2874831"/>
            <wp:effectExtent l="0" t="0" r="0" b="0"/>
            <wp:docPr id="2110891841" name="Imagen 211089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32.png"/>
                    <pic:cNvPicPr/>
                  </pic:nvPicPr>
                  <pic:blipFill>
                    <a:blip r:embed="rId143"/>
                    <a:stretch>
                      <a:fillRect/>
                    </a:stretch>
                  </pic:blipFill>
                  <pic:spPr>
                    <a:xfrm>
                      <a:off x="0" y="0"/>
                      <a:ext cx="4320000" cy="2874831"/>
                    </a:xfrm>
                    <a:prstGeom prst="rect">
                      <a:avLst/>
                    </a:prstGeom>
                  </pic:spPr>
                </pic:pic>
              </a:graphicData>
            </a:graphic>
          </wp:inline>
        </w:drawing>
      </w:r>
    </w:p>
    <w:p w14:paraId="04D20139" w14:textId="29262F87" w:rsidR="00C75A27" w:rsidRDefault="00D4093E">
      <w:pPr>
        <w:spacing w:before="160"/>
        <w:jc w:val="center"/>
      </w:pPr>
      <w:r>
        <w:rPr>
          <w:noProof/>
        </w:rPr>
        <w:lastRenderedPageBreak/>
        <w:drawing>
          <wp:inline distT="0" distB="0" distL="0" distR="0" wp14:anchorId="04EDCFF3" wp14:editId="324F4D02">
            <wp:extent cx="4320000" cy="2846921"/>
            <wp:effectExtent l="0" t="0" r="0" b="0"/>
            <wp:docPr id="2110891842" name="Imagen 211089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33.png"/>
                    <pic:cNvPicPr/>
                  </pic:nvPicPr>
                  <pic:blipFill>
                    <a:blip r:embed="rId144"/>
                    <a:stretch>
                      <a:fillRect/>
                    </a:stretch>
                  </pic:blipFill>
                  <pic:spPr>
                    <a:xfrm>
                      <a:off x="0" y="0"/>
                      <a:ext cx="4320000" cy="2846921"/>
                    </a:xfrm>
                    <a:prstGeom prst="rect">
                      <a:avLst/>
                    </a:prstGeom>
                  </pic:spPr>
                </pic:pic>
              </a:graphicData>
            </a:graphic>
          </wp:inline>
        </w:drawing>
      </w:r>
    </w:p>
    <w:p w14:paraId="165E2B20" w14:textId="7704895F" w:rsidR="00A37447" w:rsidRDefault="00A37447">
      <w:pPr>
        <w:spacing w:before="160"/>
        <w:jc w:val="center"/>
      </w:pPr>
    </w:p>
    <w:p w14:paraId="0EDE7E58" w14:textId="77777777" w:rsidR="00A37447" w:rsidRPr="0036111A" w:rsidRDefault="00A37447">
      <w:pPr>
        <w:pStyle w:val="Ttulo2"/>
        <w:rPr>
          <w:lang w:val="es-PE"/>
        </w:rPr>
      </w:pPr>
      <w:bookmarkStart w:id="59" w:name="_Toc235083056"/>
      <w:r w:rsidRPr="0036111A">
        <w:rPr>
          <w:lang w:val="es-PE"/>
        </w:rPr>
        <w:t>7.9. Cifras en Norteamérica</w:t>
      </w:r>
      <w:bookmarkEnd w:id="59"/>
    </w:p>
    <w:p w14:paraId="08A1B18A" w14:textId="4507474E" w:rsidR="00A37447" w:rsidRPr="0036111A" w:rsidRDefault="00A37447">
      <w:pPr>
        <w:keepLines/>
        <w:rPr>
          <w:lang w:val="es-PE"/>
        </w:rPr>
      </w:pPr>
      <w:r w:rsidRPr="0036111A">
        <w:rPr>
          <w:lang w:val="es-PE"/>
        </w:rPr>
        <w:t>Norteamérica consumió 11</w:t>
      </w:r>
      <w:r w:rsidR="00062D7E">
        <w:rPr>
          <w:lang w:val="es-PE"/>
        </w:rPr>
        <w:t>4</w:t>
      </w:r>
      <w:r w:rsidRPr="0036111A">
        <w:rPr>
          <w:lang w:val="es-PE"/>
        </w:rPr>
        <w:t xml:space="preserve"> EJ de energía en 2025, con el petróleo como principal fuente (cerca de 40 %) y el gas natural ganando participación, apuntalado por la generación eléctrica y la demanda de centros de datos. Estados Unidos concentró alrededor de 80 % de la producción (10</w:t>
      </w:r>
      <w:r w:rsidR="00062D7E">
        <w:rPr>
          <w:lang w:val="es-PE"/>
        </w:rPr>
        <w:t>4</w:t>
      </w:r>
      <w:r w:rsidRPr="0036111A">
        <w:rPr>
          <w:lang w:val="es-PE"/>
        </w:rPr>
        <w:t xml:space="preserve"> Gpcd) y del consumo (88</w:t>
      </w:r>
      <w:r w:rsidR="00062D7E">
        <w:rPr>
          <w:lang w:val="es-PE"/>
        </w:rPr>
        <w:t xml:space="preserve"> </w:t>
      </w:r>
      <w:r w:rsidRPr="0036111A">
        <w:rPr>
          <w:lang w:val="es-PE"/>
        </w:rPr>
        <w:t>Gpcd) de gas de la región, con la producción en máximos históricos; Canadá sumó capacidad exportadora con LNG Canada</w:t>
      </w:r>
      <w:r>
        <w:rPr>
          <w:lang w:val="es-PE"/>
        </w:rPr>
        <w:t>,</w:t>
      </w:r>
      <w:r w:rsidRPr="0036111A">
        <w:rPr>
          <w:lang w:val="es-PE"/>
        </w:rPr>
        <w:t xml:space="preserve"> y México mantuvo su dependencia de las importaciones por gasoducto desde Estados Unidos.</w:t>
      </w:r>
    </w:p>
    <w:p w14:paraId="3E24BE1F" w14:textId="77777777" w:rsidR="00A37447" w:rsidRDefault="00A37447">
      <w:pPr>
        <w:spacing w:before="160"/>
        <w:jc w:val="center"/>
      </w:pPr>
      <w:r>
        <w:rPr>
          <w:noProof/>
        </w:rPr>
        <w:drawing>
          <wp:inline distT="0" distB="0" distL="0" distR="0" wp14:anchorId="274A1441" wp14:editId="5FF7C2E0">
            <wp:extent cx="5400000" cy="3438741"/>
            <wp:effectExtent l="0" t="0" r="0" b="0"/>
            <wp:docPr id="90145" name="Picture 9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34.png"/>
                    <pic:cNvPicPr/>
                  </pic:nvPicPr>
                  <pic:blipFill>
                    <a:blip r:embed="rId145"/>
                    <a:stretch>
                      <a:fillRect/>
                    </a:stretch>
                  </pic:blipFill>
                  <pic:spPr>
                    <a:xfrm>
                      <a:off x="0" y="0"/>
                      <a:ext cx="5400000" cy="3438741"/>
                    </a:xfrm>
                    <a:prstGeom prst="rect">
                      <a:avLst/>
                    </a:prstGeom>
                  </pic:spPr>
                </pic:pic>
              </a:graphicData>
            </a:graphic>
          </wp:inline>
        </w:drawing>
      </w:r>
    </w:p>
    <w:p w14:paraId="229E6D93" w14:textId="77777777" w:rsidR="00A37447" w:rsidRDefault="00A37447">
      <w:pPr>
        <w:spacing w:after="80"/>
      </w:pPr>
    </w:p>
    <w:p w14:paraId="07858B27" w14:textId="38FA0FFB" w:rsidR="00C75A27" w:rsidRDefault="00D4093E">
      <w:pPr>
        <w:spacing w:before="160"/>
        <w:jc w:val="center"/>
      </w:pPr>
      <w:r>
        <w:rPr>
          <w:noProof/>
        </w:rPr>
        <w:lastRenderedPageBreak/>
        <w:drawing>
          <wp:inline distT="0" distB="0" distL="0" distR="0" wp14:anchorId="3EFBED3B" wp14:editId="61C8D2D0">
            <wp:extent cx="4320000" cy="2874820"/>
            <wp:effectExtent l="0" t="0" r="0" b="0"/>
            <wp:docPr id="2110891843" name="Imagen 211089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35.png"/>
                    <pic:cNvPicPr/>
                  </pic:nvPicPr>
                  <pic:blipFill>
                    <a:blip r:embed="rId146"/>
                    <a:stretch>
                      <a:fillRect/>
                    </a:stretch>
                  </pic:blipFill>
                  <pic:spPr>
                    <a:xfrm>
                      <a:off x="0" y="0"/>
                      <a:ext cx="4320000" cy="2874820"/>
                    </a:xfrm>
                    <a:prstGeom prst="rect">
                      <a:avLst/>
                    </a:prstGeom>
                  </pic:spPr>
                </pic:pic>
              </a:graphicData>
            </a:graphic>
          </wp:inline>
        </w:drawing>
      </w:r>
    </w:p>
    <w:p w14:paraId="2938076C" w14:textId="6C43E407" w:rsidR="00C75A27" w:rsidRDefault="00D4093E">
      <w:pPr>
        <w:spacing w:before="160"/>
        <w:jc w:val="center"/>
      </w:pPr>
      <w:r>
        <w:rPr>
          <w:noProof/>
        </w:rPr>
        <w:drawing>
          <wp:inline distT="0" distB="0" distL="0" distR="0" wp14:anchorId="704C625B" wp14:editId="3D66335F">
            <wp:extent cx="4320000" cy="2713209"/>
            <wp:effectExtent l="0" t="0" r="0" b="0"/>
            <wp:docPr id="2110891844" name="Imagen 211089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_136.png"/>
                    <pic:cNvPicPr/>
                  </pic:nvPicPr>
                  <pic:blipFill>
                    <a:blip r:embed="rId147"/>
                    <a:stretch>
                      <a:fillRect/>
                    </a:stretch>
                  </pic:blipFill>
                  <pic:spPr>
                    <a:xfrm>
                      <a:off x="0" y="0"/>
                      <a:ext cx="4320000" cy="2713209"/>
                    </a:xfrm>
                    <a:prstGeom prst="rect">
                      <a:avLst/>
                    </a:prstGeom>
                  </pic:spPr>
                </pic:pic>
              </a:graphicData>
            </a:graphic>
          </wp:inline>
        </w:drawing>
      </w:r>
    </w:p>
    <w:p w14:paraId="32DE70BA" w14:textId="305EB4ED" w:rsidR="00A37447" w:rsidRDefault="00A37447">
      <w:pPr>
        <w:spacing w:before="160"/>
        <w:jc w:val="center"/>
      </w:pPr>
    </w:p>
    <w:p w14:paraId="6B8D90B0" w14:textId="77777777" w:rsidR="0093052E" w:rsidRPr="0036111A" w:rsidRDefault="00A37447">
      <w:pPr>
        <w:pStyle w:val="Ttulo1"/>
        <w:pageBreakBefore/>
        <w:rPr>
          <w:lang w:val="es-PE"/>
        </w:rPr>
      </w:pPr>
      <w:bookmarkStart w:id="60" w:name="_Idx_8"/>
      <w:r w:rsidRPr="0036111A">
        <w:rPr>
          <w:lang w:val="es-PE"/>
        </w:rPr>
        <w:lastRenderedPageBreak/>
        <w:t>8. Anexos</w:t>
      </w:r>
      <w:bookmarkEnd w:id="60"/>
    </w:p>
    <w:p w14:paraId="6581932C" w14:textId="77777777" w:rsidR="00C75A27" w:rsidRPr="003E0D14" w:rsidRDefault="00D4093E">
      <w:pPr>
        <w:pStyle w:val="Ttulo2"/>
        <w:rPr>
          <w:lang w:val="es-PE"/>
        </w:rPr>
      </w:pPr>
      <w:bookmarkStart w:id="61" w:name="_Idx_8_1"/>
      <w:r w:rsidRPr="003E0D14">
        <w:rPr>
          <w:lang w:val="es-PE"/>
        </w:rPr>
        <w:t>8.1. Glosario de términos, abreviaturas y siglas</w:t>
      </w:r>
      <w:bookmarkEnd w:id="61"/>
    </w:p>
    <w:tbl>
      <w:tblPr>
        <w:tblW w:w="0" w:type="auto"/>
        <w:jc w:val="center"/>
        <w:tblLayout w:type="fixed"/>
        <w:tblLook w:val="04A0" w:firstRow="1" w:lastRow="0" w:firstColumn="1" w:lastColumn="0" w:noHBand="0" w:noVBand="1"/>
      </w:tblPr>
      <w:tblGrid>
        <w:gridCol w:w="2608"/>
        <w:gridCol w:w="5896"/>
      </w:tblGrid>
      <w:tr w:rsidR="00C75A27" w14:paraId="55793589" w14:textId="77777777">
        <w:trPr>
          <w:cantSplit/>
          <w:tblHeader/>
          <w:jc w:val="center"/>
        </w:trPr>
        <w:tc>
          <w:tcPr>
            <w:tcW w:w="2608" w:type="dxa"/>
            <w:shd w:val="clear" w:color="auto" w:fill="1F3B63"/>
          </w:tcPr>
          <w:p w14:paraId="36F7F021" w14:textId="77777777" w:rsidR="00C75A27" w:rsidRDefault="00D4093E">
            <w:pPr>
              <w:spacing w:before="40" w:after="40"/>
              <w:jc w:val="left"/>
            </w:pPr>
            <w:r>
              <w:rPr>
                <w:b/>
                <w:color w:val="FFFFFF"/>
                <w:sz w:val="18"/>
              </w:rPr>
              <w:t>TÉRMINO</w:t>
            </w:r>
          </w:p>
        </w:tc>
        <w:tc>
          <w:tcPr>
            <w:tcW w:w="5896" w:type="dxa"/>
            <w:shd w:val="clear" w:color="auto" w:fill="1F3B63"/>
          </w:tcPr>
          <w:p w14:paraId="60C3E01A" w14:textId="77777777" w:rsidR="00C75A27" w:rsidRDefault="00D4093E">
            <w:pPr>
              <w:spacing w:before="40" w:after="40"/>
              <w:jc w:val="left"/>
            </w:pPr>
            <w:r>
              <w:rPr>
                <w:b/>
                <w:color w:val="FFFFFF"/>
                <w:sz w:val="18"/>
              </w:rPr>
              <w:t>DESCRIPCIÓN</w:t>
            </w:r>
          </w:p>
        </w:tc>
      </w:tr>
      <w:tr w:rsidR="00C75A27" w:rsidRPr="001D477C" w14:paraId="77ECFB65" w14:textId="77777777">
        <w:trPr>
          <w:cantSplit/>
          <w:jc w:val="center"/>
        </w:trPr>
        <w:tc>
          <w:tcPr>
            <w:tcW w:w="2608" w:type="dxa"/>
            <w:tcBorders>
              <w:bottom w:val="single" w:sz="4" w:space="0" w:color="D9D9D9"/>
            </w:tcBorders>
          </w:tcPr>
          <w:p w14:paraId="4F36CD87" w14:textId="77777777" w:rsidR="00C75A27" w:rsidRDefault="00D4093E">
            <w:pPr>
              <w:spacing w:before="40" w:after="40"/>
              <w:jc w:val="left"/>
            </w:pPr>
            <w:r>
              <w:rPr>
                <w:b/>
                <w:sz w:val="17"/>
              </w:rPr>
              <w:t>bcm</w:t>
            </w:r>
          </w:p>
        </w:tc>
        <w:tc>
          <w:tcPr>
            <w:tcW w:w="5896" w:type="dxa"/>
            <w:tcBorders>
              <w:bottom w:val="single" w:sz="4" w:space="0" w:color="D9D9D9"/>
            </w:tcBorders>
          </w:tcPr>
          <w:p w14:paraId="04778319" w14:textId="77777777" w:rsidR="00C75A27" w:rsidRPr="003E0D14" w:rsidRDefault="00D4093E">
            <w:pPr>
              <w:spacing w:before="40" w:after="40"/>
              <w:jc w:val="left"/>
              <w:rPr>
                <w:lang w:val="es-PE"/>
              </w:rPr>
            </w:pPr>
            <w:r w:rsidRPr="003E0D14">
              <w:rPr>
                <w:sz w:val="17"/>
                <w:lang w:val="es-PE"/>
              </w:rPr>
              <w:t>Miles de millones de metros cúbicos (billion cubic meters). Unidad de volumen de gas natural usada en las estadísticas internacionales.</w:t>
            </w:r>
          </w:p>
        </w:tc>
      </w:tr>
      <w:tr w:rsidR="00C75A27" w:rsidRPr="001D477C" w14:paraId="2AAFEC40" w14:textId="77777777">
        <w:trPr>
          <w:cantSplit/>
          <w:jc w:val="center"/>
        </w:trPr>
        <w:tc>
          <w:tcPr>
            <w:tcW w:w="2608" w:type="dxa"/>
            <w:tcBorders>
              <w:bottom w:val="single" w:sz="4" w:space="0" w:color="D9D9D9"/>
            </w:tcBorders>
          </w:tcPr>
          <w:p w14:paraId="2607BEC9" w14:textId="77777777" w:rsidR="00C75A27" w:rsidRDefault="00D4093E">
            <w:pPr>
              <w:spacing w:before="40" w:after="40"/>
              <w:jc w:val="left"/>
            </w:pPr>
            <w:r>
              <w:rPr>
                <w:b/>
                <w:sz w:val="17"/>
              </w:rPr>
              <w:t>Bonogas</w:t>
            </w:r>
          </w:p>
        </w:tc>
        <w:tc>
          <w:tcPr>
            <w:tcW w:w="5896" w:type="dxa"/>
            <w:tcBorders>
              <w:bottom w:val="single" w:sz="4" w:space="0" w:color="D9D9D9"/>
            </w:tcBorders>
          </w:tcPr>
          <w:p w14:paraId="122EDBB8" w14:textId="77777777" w:rsidR="00C75A27" w:rsidRPr="003E0D14" w:rsidRDefault="00D4093E">
            <w:pPr>
              <w:spacing w:before="40" w:after="40"/>
              <w:jc w:val="left"/>
              <w:rPr>
                <w:lang w:val="es-PE"/>
              </w:rPr>
            </w:pPr>
            <w:r w:rsidRPr="003E0D14">
              <w:rPr>
                <w:sz w:val="17"/>
                <w:lang w:val="es-PE"/>
              </w:rPr>
              <w:t>Programa del Fondo de Inclusión Social Energético (FISE) que financia la conexión y la instalación interna de gas natural en los hogares. En los estratos de menores ingresos no exige devolución; en el resto se repaga sin intereses a través del recibo.</w:t>
            </w:r>
          </w:p>
        </w:tc>
      </w:tr>
      <w:tr w:rsidR="00C75A27" w:rsidRPr="001D477C" w14:paraId="26125440" w14:textId="77777777">
        <w:trPr>
          <w:cantSplit/>
          <w:jc w:val="center"/>
        </w:trPr>
        <w:tc>
          <w:tcPr>
            <w:tcW w:w="2608" w:type="dxa"/>
            <w:tcBorders>
              <w:bottom w:val="single" w:sz="4" w:space="0" w:color="D9D9D9"/>
            </w:tcBorders>
          </w:tcPr>
          <w:p w14:paraId="3A0714E3" w14:textId="77777777" w:rsidR="00C75A27" w:rsidRDefault="00D4093E">
            <w:pPr>
              <w:spacing w:before="40" w:after="40"/>
              <w:jc w:val="left"/>
            </w:pPr>
            <w:r>
              <w:rPr>
                <w:b/>
                <w:sz w:val="17"/>
              </w:rPr>
              <w:t>Calentamiento global</w:t>
            </w:r>
          </w:p>
        </w:tc>
        <w:tc>
          <w:tcPr>
            <w:tcW w:w="5896" w:type="dxa"/>
            <w:tcBorders>
              <w:bottom w:val="single" w:sz="4" w:space="0" w:color="D9D9D9"/>
            </w:tcBorders>
          </w:tcPr>
          <w:p w14:paraId="3CB926CD" w14:textId="77777777" w:rsidR="00C75A27" w:rsidRPr="003E0D14" w:rsidRDefault="00D4093E">
            <w:pPr>
              <w:spacing w:before="40" w:after="40"/>
              <w:jc w:val="left"/>
              <w:rPr>
                <w:lang w:val="es-PE"/>
              </w:rPr>
            </w:pPr>
            <w:r w:rsidRPr="003E0D14">
              <w:rPr>
                <w:sz w:val="17"/>
                <w:lang w:val="es-PE"/>
              </w:rPr>
              <w:t>Aumento del efecto invernadero, un proceso en el que la radiación térmica emitida por la Tierra queda atrapada en la atmósfera debido a los gases con ese efecto (GEI).</w:t>
            </w:r>
          </w:p>
        </w:tc>
      </w:tr>
      <w:tr w:rsidR="00C75A27" w:rsidRPr="001D477C" w14:paraId="7EB92C84" w14:textId="77777777">
        <w:trPr>
          <w:cantSplit/>
          <w:jc w:val="center"/>
        </w:trPr>
        <w:tc>
          <w:tcPr>
            <w:tcW w:w="2608" w:type="dxa"/>
            <w:tcBorders>
              <w:bottom w:val="single" w:sz="4" w:space="0" w:color="D9D9D9"/>
            </w:tcBorders>
          </w:tcPr>
          <w:p w14:paraId="2836E38F" w14:textId="77777777" w:rsidR="00C75A27" w:rsidRDefault="00D4093E">
            <w:pPr>
              <w:spacing w:before="40" w:after="40"/>
              <w:jc w:val="left"/>
            </w:pPr>
            <w:r>
              <w:rPr>
                <w:b/>
                <w:sz w:val="17"/>
              </w:rPr>
              <w:t>Cambio climático</w:t>
            </w:r>
          </w:p>
        </w:tc>
        <w:tc>
          <w:tcPr>
            <w:tcW w:w="5896" w:type="dxa"/>
            <w:tcBorders>
              <w:bottom w:val="single" w:sz="4" w:space="0" w:color="D9D9D9"/>
            </w:tcBorders>
          </w:tcPr>
          <w:p w14:paraId="5CC4A34A" w14:textId="77777777" w:rsidR="00C75A27" w:rsidRPr="003E0D14" w:rsidRDefault="00D4093E">
            <w:pPr>
              <w:spacing w:before="40" w:after="40"/>
              <w:jc w:val="left"/>
              <w:rPr>
                <w:lang w:val="es-PE"/>
              </w:rPr>
            </w:pPr>
            <w:r w:rsidRPr="003E0D14">
              <w:rPr>
                <w:sz w:val="17"/>
                <w:lang w:val="es-PE"/>
              </w:rPr>
              <w:t>Cambios a largo plazo de las temperaturas y los patrones climáticos.</w:t>
            </w:r>
          </w:p>
        </w:tc>
      </w:tr>
      <w:tr w:rsidR="00C75A27" w:rsidRPr="001D477C" w14:paraId="5C09C87A" w14:textId="77777777">
        <w:trPr>
          <w:cantSplit/>
          <w:jc w:val="center"/>
        </w:trPr>
        <w:tc>
          <w:tcPr>
            <w:tcW w:w="2608" w:type="dxa"/>
            <w:tcBorders>
              <w:bottom w:val="single" w:sz="4" w:space="0" w:color="D9D9D9"/>
            </w:tcBorders>
          </w:tcPr>
          <w:p w14:paraId="76770381" w14:textId="77777777" w:rsidR="00C75A27" w:rsidRDefault="00D4093E">
            <w:pPr>
              <w:spacing w:before="40" w:after="40"/>
              <w:jc w:val="left"/>
            </w:pPr>
            <w:r>
              <w:rPr>
                <w:b/>
                <w:sz w:val="17"/>
              </w:rPr>
              <w:t>CAPEX</w:t>
            </w:r>
          </w:p>
        </w:tc>
        <w:tc>
          <w:tcPr>
            <w:tcW w:w="5896" w:type="dxa"/>
            <w:tcBorders>
              <w:bottom w:val="single" w:sz="4" w:space="0" w:color="D9D9D9"/>
            </w:tcBorders>
          </w:tcPr>
          <w:p w14:paraId="4ECE5117" w14:textId="77777777" w:rsidR="00C75A27" w:rsidRPr="003E0D14" w:rsidRDefault="00D4093E">
            <w:pPr>
              <w:spacing w:before="40" w:after="40"/>
              <w:jc w:val="left"/>
              <w:rPr>
                <w:lang w:val="es-PE"/>
              </w:rPr>
            </w:pPr>
            <w:r w:rsidRPr="003E0D14">
              <w:rPr>
                <w:sz w:val="17"/>
                <w:lang w:val="es-PE"/>
              </w:rPr>
              <w:t>Gasto de capital (capital expenditure). Inversión en activos fijos de un proyecto, sin incluir los costos de operación.</w:t>
            </w:r>
          </w:p>
        </w:tc>
      </w:tr>
      <w:tr w:rsidR="00C75A27" w:rsidRPr="00013575" w14:paraId="5812D304" w14:textId="77777777">
        <w:trPr>
          <w:cantSplit/>
          <w:jc w:val="center"/>
        </w:trPr>
        <w:tc>
          <w:tcPr>
            <w:tcW w:w="2608" w:type="dxa"/>
            <w:tcBorders>
              <w:bottom w:val="single" w:sz="4" w:space="0" w:color="D9D9D9"/>
            </w:tcBorders>
          </w:tcPr>
          <w:p w14:paraId="7E5CEA73" w14:textId="77777777" w:rsidR="00C75A27" w:rsidRDefault="00D4093E">
            <w:pPr>
              <w:spacing w:before="40" w:after="40"/>
              <w:jc w:val="left"/>
            </w:pPr>
            <w:r>
              <w:rPr>
                <w:b/>
                <w:sz w:val="17"/>
              </w:rPr>
              <w:t>CIADI</w:t>
            </w:r>
          </w:p>
        </w:tc>
        <w:tc>
          <w:tcPr>
            <w:tcW w:w="5896" w:type="dxa"/>
            <w:tcBorders>
              <w:bottom w:val="single" w:sz="4" w:space="0" w:color="D9D9D9"/>
            </w:tcBorders>
          </w:tcPr>
          <w:p w14:paraId="4D9B40D4" w14:textId="77777777" w:rsidR="00C75A27" w:rsidRPr="003E0D14" w:rsidRDefault="00D4093E">
            <w:pPr>
              <w:spacing w:before="40" w:after="40"/>
              <w:jc w:val="left"/>
              <w:rPr>
                <w:lang w:val="es-PE"/>
              </w:rPr>
            </w:pPr>
            <w:r w:rsidRPr="003E0D14">
              <w:rPr>
                <w:sz w:val="17"/>
                <w:lang w:val="es-PE"/>
              </w:rPr>
              <w:t>Centro Internacional de Arreglo de Diferencias Relativas a Inversiones, del Banco Mundial. Administra arbitrajes entre inversionistas extranjeros y Estados.</w:t>
            </w:r>
          </w:p>
        </w:tc>
      </w:tr>
      <w:tr w:rsidR="00C75A27" w:rsidRPr="001D477C" w14:paraId="336856EF" w14:textId="77777777">
        <w:trPr>
          <w:cantSplit/>
          <w:jc w:val="center"/>
        </w:trPr>
        <w:tc>
          <w:tcPr>
            <w:tcW w:w="2608" w:type="dxa"/>
            <w:tcBorders>
              <w:bottom w:val="single" w:sz="4" w:space="0" w:color="D9D9D9"/>
            </w:tcBorders>
          </w:tcPr>
          <w:p w14:paraId="20EDAD9B" w14:textId="77777777" w:rsidR="00C75A27" w:rsidRDefault="00D4093E">
            <w:pPr>
              <w:spacing w:before="40" w:after="40"/>
              <w:jc w:val="left"/>
            </w:pPr>
            <w:r>
              <w:rPr>
                <w:b/>
                <w:sz w:val="17"/>
              </w:rPr>
              <w:t>Cobertura efectiva</w:t>
            </w:r>
          </w:p>
        </w:tc>
        <w:tc>
          <w:tcPr>
            <w:tcW w:w="5896" w:type="dxa"/>
            <w:tcBorders>
              <w:bottom w:val="single" w:sz="4" w:space="0" w:color="D9D9D9"/>
            </w:tcBorders>
          </w:tcPr>
          <w:p w14:paraId="5929CB47" w14:textId="77777777" w:rsidR="00C75A27" w:rsidRPr="003E0D14" w:rsidRDefault="00D4093E">
            <w:pPr>
              <w:spacing w:before="40" w:after="40"/>
              <w:jc w:val="left"/>
              <w:rPr>
                <w:lang w:val="es-PE"/>
              </w:rPr>
            </w:pPr>
            <w:r w:rsidRPr="003E0D14">
              <w:rPr>
                <w:sz w:val="17"/>
                <w:lang w:val="es-PE"/>
              </w:rPr>
              <w:t>Usuarios residenciales conectados sobre la población potencial que puede atender una empresa prestadora del servicio, en porcentaje.</w:t>
            </w:r>
          </w:p>
        </w:tc>
      </w:tr>
      <w:tr w:rsidR="00C75A27" w:rsidRPr="001D477C" w14:paraId="5DBCF1EF" w14:textId="77777777">
        <w:trPr>
          <w:cantSplit/>
          <w:jc w:val="center"/>
        </w:trPr>
        <w:tc>
          <w:tcPr>
            <w:tcW w:w="2608" w:type="dxa"/>
            <w:tcBorders>
              <w:bottom w:val="single" w:sz="4" w:space="0" w:color="D9D9D9"/>
            </w:tcBorders>
          </w:tcPr>
          <w:p w14:paraId="44DBD721" w14:textId="77777777" w:rsidR="00C75A27" w:rsidRDefault="00D4093E">
            <w:pPr>
              <w:spacing w:before="40" w:after="40"/>
              <w:jc w:val="left"/>
            </w:pPr>
            <w:r>
              <w:rPr>
                <w:b/>
                <w:sz w:val="17"/>
              </w:rPr>
              <w:t>Cobertura potencial</w:t>
            </w:r>
          </w:p>
        </w:tc>
        <w:tc>
          <w:tcPr>
            <w:tcW w:w="5896" w:type="dxa"/>
            <w:tcBorders>
              <w:bottom w:val="single" w:sz="4" w:space="0" w:color="D9D9D9"/>
            </w:tcBorders>
          </w:tcPr>
          <w:p w14:paraId="40D8F1B1" w14:textId="77777777" w:rsidR="00C75A27" w:rsidRPr="003E0D14" w:rsidRDefault="00D4093E">
            <w:pPr>
              <w:spacing w:before="40" w:after="40"/>
              <w:jc w:val="left"/>
              <w:rPr>
                <w:lang w:val="es-PE"/>
              </w:rPr>
            </w:pPr>
            <w:r w:rsidRPr="003E0D14">
              <w:rPr>
                <w:sz w:val="17"/>
                <w:lang w:val="es-PE"/>
              </w:rPr>
              <w:t>Usuarios anillados sobre la población potencial que puede atender una empresa prestadora del servicio, en porcentaje.</w:t>
            </w:r>
          </w:p>
        </w:tc>
      </w:tr>
      <w:tr w:rsidR="00C75A27" w14:paraId="3BE20A48" w14:textId="77777777">
        <w:trPr>
          <w:cantSplit/>
          <w:jc w:val="center"/>
        </w:trPr>
        <w:tc>
          <w:tcPr>
            <w:tcW w:w="2608" w:type="dxa"/>
            <w:tcBorders>
              <w:bottom w:val="single" w:sz="4" w:space="0" w:color="D9D9D9"/>
            </w:tcBorders>
          </w:tcPr>
          <w:p w14:paraId="349A4779" w14:textId="77777777" w:rsidR="00C75A27" w:rsidRDefault="00D4093E">
            <w:pPr>
              <w:spacing w:before="40" w:after="40"/>
              <w:jc w:val="left"/>
            </w:pPr>
            <w:r>
              <w:rPr>
                <w:b/>
                <w:sz w:val="17"/>
              </w:rPr>
              <w:t>COES</w:t>
            </w:r>
          </w:p>
        </w:tc>
        <w:tc>
          <w:tcPr>
            <w:tcW w:w="5896" w:type="dxa"/>
            <w:tcBorders>
              <w:bottom w:val="single" w:sz="4" w:space="0" w:color="D9D9D9"/>
            </w:tcBorders>
          </w:tcPr>
          <w:p w14:paraId="1DB4CB25" w14:textId="25742D3D" w:rsidR="00C75A27" w:rsidRDefault="00D4093E">
            <w:pPr>
              <w:spacing w:before="40" w:after="40"/>
              <w:jc w:val="left"/>
            </w:pPr>
            <w:r w:rsidRPr="003E0D14">
              <w:rPr>
                <w:sz w:val="17"/>
                <w:lang w:val="es-PE"/>
              </w:rPr>
              <w:t xml:space="preserve">Comité de Operación Económica del Sistema Interconectado Nacional. </w:t>
            </w:r>
            <w:r>
              <w:rPr>
                <w:sz w:val="17"/>
              </w:rPr>
              <w:t>Coordina la operación del Sistema Eléctrico Peruano.</w:t>
            </w:r>
          </w:p>
        </w:tc>
      </w:tr>
      <w:tr w:rsidR="00C75A27" w:rsidRPr="001D477C" w14:paraId="7CD77AA5" w14:textId="77777777">
        <w:trPr>
          <w:cantSplit/>
          <w:jc w:val="center"/>
        </w:trPr>
        <w:tc>
          <w:tcPr>
            <w:tcW w:w="2608" w:type="dxa"/>
            <w:tcBorders>
              <w:bottom w:val="single" w:sz="4" w:space="0" w:color="D9D9D9"/>
            </w:tcBorders>
          </w:tcPr>
          <w:p w14:paraId="69B13CB4" w14:textId="77777777" w:rsidR="00C75A27" w:rsidRDefault="00D4093E">
            <w:pPr>
              <w:spacing w:before="40" w:after="40"/>
              <w:jc w:val="left"/>
            </w:pPr>
            <w:r>
              <w:rPr>
                <w:b/>
                <w:sz w:val="17"/>
              </w:rPr>
              <w:t>Cogeneración</w:t>
            </w:r>
          </w:p>
        </w:tc>
        <w:tc>
          <w:tcPr>
            <w:tcW w:w="5896" w:type="dxa"/>
            <w:tcBorders>
              <w:bottom w:val="single" w:sz="4" w:space="0" w:color="D9D9D9"/>
            </w:tcBorders>
          </w:tcPr>
          <w:p w14:paraId="4F72A958" w14:textId="77777777" w:rsidR="00C75A27" w:rsidRPr="003E0D14" w:rsidRDefault="00D4093E">
            <w:pPr>
              <w:spacing w:before="40" w:after="40"/>
              <w:jc w:val="left"/>
              <w:rPr>
                <w:lang w:val="es-PE"/>
              </w:rPr>
            </w:pPr>
            <w:r w:rsidRPr="003E0D14">
              <w:rPr>
                <w:sz w:val="17"/>
                <w:lang w:val="es-PE"/>
              </w:rPr>
              <w:t>Tecnología que produce de forma secuencial dos tipos de energía útiles a los procesos industriales, normalmente eléctrica y térmica.</w:t>
            </w:r>
          </w:p>
        </w:tc>
      </w:tr>
      <w:tr w:rsidR="00C75A27" w14:paraId="26AA9DC2" w14:textId="77777777">
        <w:trPr>
          <w:cantSplit/>
          <w:jc w:val="center"/>
        </w:trPr>
        <w:tc>
          <w:tcPr>
            <w:tcW w:w="2608" w:type="dxa"/>
            <w:tcBorders>
              <w:bottom w:val="single" w:sz="4" w:space="0" w:color="D9D9D9"/>
            </w:tcBorders>
          </w:tcPr>
          <w:p w14:paraId="7188F86F" w14:textId="77777777" w:rsidR="00C75A27" w:rsidRDefault="00D4093E">
            <w:pPr>
              <w:spacing w:before="40" w:after="40"/>
              <w:jc w:val="left"/>
            </w:pPr>
            <w:r>
              <w:rPr>
                <w:b/>
                <w:sz w:val="17"/>
              </w:rPr>
              <w:t>Costo marginal</w:t>
            </w:r>
          </w:p>
        </w:tc>
        <w:tc>
          <w:tcPr>
            <w:tcW w:w="5896" w:type="dxa"/>
            <w:tcBorders>
              <w:bottom w:val="single" w:sz="4" w:space="0" w:color="D9D9D9"/>
            </w:tcBorders>
          </w:tcPr>
          <w:p w14:paraId="2EAFBB21" w14:textId="74CFBC72" w:rsidR="00C75A27" w:rsidRDefault="00D4093E">
            <w:pPr>
              <w:spacing w:before="40" w:after="40"/>
              <w:jc w:val="left"/>
            </w:pPr>
            <w:r w:rsidRPr="003E0D14">
              <w:rPr>
                <w:sz w:val="17"/>
                <w:lang w:val="es-PE"/>
              </w:rPr>
              <w:t xml:space="preserve">Costo de producir un megavatio hora adicional en el </w:t>
            </w:r>
            <w:r>
              <w:rPr>
                <w:sz w:val="17"/>
                <w:lang w:val="es-PE"/>
              </w:rPr>
              <w:t>S</w:t>
            </w:r>
            <w:r w:rsidRPr="003E0D14">
              <w:rPr>
                <w:sz w:val="17"/>
                <w:lang w:val="es-PE"/>
              </w:rPr>
              <w:t xml:space="preserve">istema </w:t>
            </w:r>
            <w:r>
              <w:rPr>
                <w:sz w:val="17"/>
                <w:lang w:val="es-PE"/>
              </w:rPr>
              <w:t>E</w:t>
            </w:r>
            <w:r w:rsidRPr="003E0D14">
              <w:rPr>
                <w:sz w:val="17"/>
                <w:lang w:val="es-PE"/>
              </w:rPr>
              <w:t xml:space="preserve">léctrico. </w:t>
            </w:r>
            <w:r w:rsidRPr="004A5201">
              <w:rPr>
                <w:sz w:val="17"/>
                <w:lang w:val="es-CO"/>
              </w:rPr>
              <w:t xml:space="preserve">Define el precio en el mercado </w:t>
            </w:r>
            <w:r w:rsidRPr="004F3DB7">
              <w:rPr>
                <w:i/>
                <w:iCs/>
                <w:sz w:val="17"/>
                <w:lang w:val="es-CO"/>
              </w:rPr>
              <w:t>spot.</w:t>
            </w:r>
          </w:p>
        </w:tc>
      </w:tr>
      <w:tr w:rsidR="00C75A27" w:rsidRPr="001D477C" w14:paraId="668AF324" w14:textId="77777777">
        <w:trPr>
          <w:cantSplit/>
          <w:jc w:val="center"/>
        </w:trPr>
        <w:tc>
          <w:tcPr>
            <w:tcW w:w="2608" w:type="dxa"/>
            <w:tcBorders>
              <w:bottom w:val="single" w:sz="4" w:space="0" w:color="D9D9D9"/>
            </w:tcBorders>
          </w:tcPr>
          <w:p w14:paraId="7A72DADD" w14:textId="77777777" w:rsidR="00C75A27" w:rsidRDefault="00D4093E">
            <w:pPr>
              <w:spacing w:before="40" w:after="40"/>
              <w:jc w:val="left"/>
            </w:pPr>
            <w:r>
              <w:rPr>
                <w:b/>
                <w:sz w:val="17"/>
              </w:rPr>
              <w:t>Distribución – comercialización de gas</w:t>
            </w:r>
          </w:p>
        </w:tc>
        <w:tc>
          <w:tcPr>
            <w:tcW w:w="5896" w:type="dxa"/>
            <w:tcBorders>
              <w:bottom w:val="single" w:sz="4" w:space="0" w:color="D9D9D9"/>
            </w:tcBorders>
          </w:tcPr>
          <w:p w14:paraId="234343C0" w14:textId="45A0B5F0" w:rsidR="00C75A27" w:rsidRPr="003E0D14" w:rsidRDefault="00D4093E">
            <w:pPr>
              <w:spacing w:before="40" w:after="40"/>
              <w:jc w:val="left"/>
              <w:rPr>
                <w:lang w:val="es-PE"/>
              </w:rPr>
            </w:pPr>
            <w:r w:rsidRPr="003E0D14">
              <w:rPr>
                <w:sz w:val="17"/>
                <w:lang w:val="es-PE"/>
              </w:rPr>
              <w:t xml:space="preserve">Administración, gestión comercial, planeación, expansión, operación y mantenimiento de un </w:t>
            </w:r>
            <w:r>
              <w:rPr>
                <w:sz w:val="17"/>
                <w:lang w:val="es-PE"/>
              </w:rPr>
              <w:t>S</w:t>
            </w:r>
            <w:r w:rsidRPr="003E0D14">
              <w:rPr>
                <w:sz w:val="17"/>
                <w:lang w:val="es-PE"/>
              </w:rPr>
              <w:t xml:space="preserve">istema de </w:t>
            </w:r>
            <w:r>
              <w:rPr>
                <w:sz w:val="17"/>
                <w:lang w:val="es-PE"/>
              </w:rPr>
              <w:t>D</w:t>
            </w:r>
            <w:r w:rsidRPr="003E0D14">
              <w:rPr>
                <w:sz w:val="17"/>
                <w:lang w:val="es-PE"/>
              </w:rPr>
              <w:t>istribución de gas, y suministro del combustible a título oneroso desde las estaciones de puerta de ciudad hasta la conexión del usuario.</w:t>
            </w:r>
          </w:p>
        </w:tc>
      </w:tr>
      <w:tr w:rsidR="00C75A27" w:rsidRPr="001D477C" w14:paraId="22489B4D" w14:textId="77777777">
        <w:trPr>
          <w:cantSplit/>
          <w:jc w:val="center"/>
        </w:trPr>
        <w:tc>
          <w:tcPr>
            <w:tcW w:w="2608" w:type="dxa"/>
            <w:tcBorders>
              <w:bottom w:val="single" w:sz="4" w:space="0" w:color="D9D9D9"/>
            </w:tcBorders>
          </w:tcPr>
          <w:p w14:paraId="7B9E9679" w14:textId="4170928D" w:rsidR="00C75A27" w:rsidRDefault="00D4093E">
            <w:pPr>
              <w:spacing w:before="40" w:after="40"/>
              <w:jc w:val="left"/>
            </w:pPr>
            <w:r>
              <w:rPr>
                <w:b/>
                <w:sz w:val="17"/>
              </w:rPr>
              <w:t>Ebitda</w:t>
            </w:r>
          </w:p>
        </w:tc>
        <w:tc>
          <w:tcPr>
            <w:tcW w:w="5896" w:type="dxa"/>
            <w:tcBorders>
              <w:bottom w:val="single" w:sz="4" w:space="0" w:color="D9D9D9"/>
            </w:tcBorders>
          </w:tcPr>
          <w:p w14:paraId="0DFF9D77" w14:textId="77777777" w:rsidR="00C75A27" w:rsidRPr="003E0D14" w:rsidRDefault="00D4093E">
            <w:pPr>
              <w:spacing w:before="40" w:after="40"/>
              <w:jc w:val="left"/>
              <w:rPr>
                <w:lang w:val="es-PE"/>
              </w:rPr>
            </w:pPr>
            <w:r w:rsidRPr="003E0D14">
              <w:rPr>
                <w:sz w:val="17"/>
                <w:lang w:val="es-PE"/>
              </w:rPr>
              <w:t>Utilidad antes de intereses, impuestos, depreciación y amortización.</w:t>
            </w:r>
          </w:p>
        </w:tc>
      </w:tr>
      <w:tr w:rsidR="00C75A27" w:rsidRPr="001D477C" w14:paraId="1EEEC64B" w14:textId="77777777">
        <w:trPr>
          <w:cantSplit/>
          <w:jc w:val="center"/>
        </w:trPr>
        <w:tc>
          <w:tcPr>
            <w:tcW w:w="2608" w:type="dxa"/>
            <w:tcBorders>
              <w:bottom w:val="single" w:sz="4" w:space="0" w:color="D9D9D9"/>
            </w:tcBorders>
          </w:tcPr>
          <w:p w14:paraId="05870AA9" w14:textId="77777777" w:rsidR="00C75A27" w:rsidRDefault="00D4093E">
            <w:pPr>
              <w:spacing w:before="40" w:after="40"/>
              <w:jc w:val="left"/>
            </w:pPr>
            <w:r>
              <w:rPr>
                <w:b/>
                <w:sz w:val="17"/>
              </w:rPr>
              <w:t>EJ</w:t>
            </w:r>
          </w:p>
        </w:tc>
        <w:tc>
          <w:tcPr>
            <w:tcW w:w="5896" w:type="dxa"/>
            <w:tcBorders>
              <w:bottom w:val="single" w:sz="4" w:space="0" w:color="D9D9D9"/>
            </w:tcBorders>
          </w:tcPr>
          <w:p w14:paraId="28B0BA7B" w14:textId="77777777" w:rsidR="00C75A27" w:rsidRPr="003E0D14" w:rsidRDefault="00D4093E">
            <w:pPr>
              <w:spacing w:before="40" w:after="40"/>
              <w:jc w:val="left"/>
              <w:rPr>
                <w:lang w:val="es-PE"/>
              </w:rPr>
            </w:pPr>
            <w:r w:rsidRPr="003E0D14">
              <w:rPr>
                <w:sz w:val="17"/>
                <w:lang w:val="es-PE"/>
              </w:rPr>
              <w:t>Exajoule. Unidad de energía equivalente a 10¹⁸ joules; se usa para el consumo energético mundial.</w:t>
            </w:r>
          </w:p>
        </w:tc>
      </w:tr>
      <w:tr w:rsidR="00C75A27" w:rsidRPr="001D477C" w14:paraId="6DC49616" w14:textId="77777777">
        <w:trPr>
          <w:cantSplit/>
          <w:jc w:val="center"/>
        </w:trPr>
        <w:tc>
          <w:tcPr>
            <w:tcW w:w="2608" w:type="dxa"/>
            <w:tcBorders>
              <w:bottom w:val="single" w:sz="4" w:space="0" w:color="D9D9D9"/>
            </w:tcBorders>
          </w:tcPr>
          <w:p w14:paraId="567A8DDF" w14:textId="77777777" w:rsidR="00C75A27" w:rsidRDefault="00D4093E">
            <w:pPr>
              <w:spacing w:before="40" w:after="40"/>
              <w:jc w:val="left"/>
            </w:pPr>
            <w:r>
              <w:rPr>
                <w:b/>
                <w:sz w:val="17"/>
              </w:rPr>
              <w:t>EMBIG</w:t>
            </w:r>
          </w:p>
        </w:tc>
        <w:tc>
          <w:tcPr>
            <w:tcW w:w="5896" w:type="dxa"/>
            <w:tcBorders>
              <w:bottom w:val="single" w:sz="4" w:space="0" w:color="D9D9D9"/>
            </w:tcBorders>
          </w:tcPr>
          <w:p w14:paraId="36A186FE" w14:textId="77777777" w:rsidR="00C75A27" w:rsidRPr="003E0D14" w:rsidRDefault="00D4093E">
            <w:pPr>
              <w:spacing w:before="40" w:after="40"/>
              <w:jc w:val="left"/>
              <w:rPr>
                <w:lang w:val="es-PE"/>
              </w:rPr>
            </w:pPr>
            <w:r>
              <w:rPr>
                <w:sz w:val="17"/>
              </w:rPr>
              <w:t xml:space="preserve">Emerging Markets Bond Index Global. </w:t>
            </w:r>
            <w:r w:rsidRPr="003E0D14">
              <w:rPr>
                <w:sz w:val="17"/>
                <w:lang w:val="es-PE"/>
              </w:rPr>
              <w:t>Diferencial de rendimientos del índice de bonos de mercados emergentes.</w:t>
            </w:r>
          </w:p>
        </w:tc>
      </w:tr>
      <w:tr w:rsidR="00C75A27" w14:paraId="74B8468F" w14:textId="77777777">
        <w:trPr>
          <w:cantSplit/>
          <w:jc w:val="center"/>
        </w:trPr>
        <w:tc>
          <w:tcPr>
            <w:tcW w:w="2608" w:type="dxa"/>
            <w:tcBorders>
              <w:bottom w:val="single" w:sz="4" w:space="0" w:color="D9D9D9"/>
            </w:tcBorders>
          </w:tcPr>
          <w:p w14:paraId="29BEC5B3" w14:textId="77777777" w:rsidR="00C75A27" w:rsidRDefault="00D4093E">
            <w:pPr>
              <w:spacing w:before="40" w:after="40"/>
              <w:jc w:val="left"/>
            </w:pPr>
            <w:r>
              <w:rPr>
                <w:b/>
                <w:sz w:val="17"/>
              </w:rPr>
              <w:t>ENFEN</w:t>
            </w:r>
          </w:p>
        </w:tc>
        <w:tc>
          <w:tcPr>
            <w:tcW w:w="5896" w:type="dxa"/>
            <w:tcBorders>
              <w:bottom w:val="single" w:sz="4" w:space="0" w:color="D9D9D9"/>
            </w:tcBorders>
          </w:tcPr>
          <w:p w14:paraId="16B339AC" w14:textId="77777777" w:rsidR="00C75A27" w:rsidRDefault="00D4093E">
            <w:pPr>
              <w:spacing w:before="40" w:after="40"/>
              <w:jc w:val="left"/>
            </w:pPr>
            <w:r w:rsidRPr="003E0D14">
              <w:rPr>
                <w:sz w:val="17"/>
                <w:lang w:val="es-PE"/>
              </w:rPr>
              <w:t xml:space="preserve">Comisión Multisectorial encargada del Estudio Nacional del Fenómeno El Niño. </w:t>
            </w:r>
            <w:r w:rsidRPr="002A4C7E">
              <w:rPr>
                <w:sz w:val="17"/>
                <w:lang w:val="es-CO"/>
              </w:rPr>
              <w:t>Emite las probabilidades oficiales de magnitud del evento.</w:t>
            </w:r>
          </w:p>
        </w:tc>
      </w:tr>
      <w:tr w:rsidR="00C75A27" w:rsidRPr="001D477C" w14:paraId="4E21E625" w14:textId="77777777">
        <w:trPr>
          <w:cantSplit/>
          <w:jc w:val="center"/>
        </w:trPr>
        <w:tc>
          <w:tcPr>
            <w:tcW w:w="2608" w:type="dxa"/>
            <w:tcBorders>
              <w:bottom w:val="single" w:sz="4" w:space="0" w:color="D9D9D9"/>
            </w:tcBorders>
          </w:tcPr>
          <w:p w14:paraId="5C77DC4D" w14:textId="77777777" w:rsidR="00C75A27" w:rsidRDefault="00D4093E">
            <w:pPr>
              <w:spacing w:before="40" w:after="40"/>
              <w:jc w:val="left"/>
            </w:pPr>
            <w:r>
              <w:rPr>
                <w:b/>
                <w:sz w:val="17"/>
              </w:rPr>
              <w:t>Energías renovables</w:t>
            </w:r>
          </w:p>
        </w:tc>
        <w:tc>
          <w:tcPr>
            <w:tcW w:w="5896" w:type="dxa"/>
            <w:tcBorders>
              <w:bottom w:val="single" w:sz="4" w:space="0" w:color="D9D9D9"/>
            </w:tcBorders>
          </w:tcPr>
          <w:p w14:paraId="7D4B55A7" w14:textId="77777777" w:rsidR="00C75A27" w:rsidRPr="003E0D14" w:rsidRDefault="00D4093E">
            <w:pPr>
              <w:spacing w:before="40" w:after="40"/>
              <w:jc w:val="left"/>
              <w:rPr>
                <w:lang w:val="es-PE"/>
              </w:rPr>
            </w:pPr>
            <w:r w:rsidRPr="003E0D14">
              <w:rPr>
                <w:sz w:val="17"/>
                <w:lang w:val="es-PE"/>
              </w:rPr>
              <w:t>Las que se obtienen de fuentes naturales inagotables y generan electricidad sin contribuir al calentamiento global.</w:t>
            </w:r>
          </w:p>
        </w:tc>
      </w:tr>
      <w:tr w:rsidR="00C75A27" w:rsidRPr="001D477C" w14:paraId="75859978" w14:textId="77777777">
        <w:trPr>
          <w:cantSplit/>
          <w:jc w:val="center"/>
        </w:trPr>
        <w:tc>
          <w:tcPr>
            <w:tcW w:w="2608" w:type="dxa"/>
            <w:tcBorders>
              <w:bottom w:val="single" w:sz="4" w:space="0" w:color="D9D9D9"/>
            </w:tcBorders>
          </w:tcPr>
          <w:p w14:paraId="4939FB45" w14:textId="77777777" w:rsidR="00C75A27" w:rsidRDefault="00D4093E">
            <w:pPr>
              <w:spacing w:before="40" w:after="40"/>
              <w:jc w:val="left"/>
            </w:pPr>
            <w:r>
              <w:rPr>
                <w:b/>
                <w:sz w:val="17"/>
              </w:rPr>
              <w:t>FEN</w:t>
            </w:r>
          </w:p>
        </w:tc>
        <w:tc>
          <w:tcPr>
            <w:tcW w:w="5896" w:type="dxa"/>
            <w:tcBorders>
              <w:bottom w:val="single" w:sz="4" w:space="0" w:color="D9D9D9"/>
            </w:tcBorders>
          </w:tcPr>
          <w:p w14:paraId="50695F9B" w14:textId="77777777" w:rsidR="00C75A27" w:rsidRPr="003E0D14" w:rsidRDefault="00D4093E">
            <w:pPr>
              <w:spacing w:before="40" w:after="40"/>
              <w:jc w:val="left"/>
              <w:rPr>
                <w:lang w:val="es-PE"/>
              </w:rPr>
            </w:pPr>
            <w:r w:rsidRPr="003E0D14">
              <w:rPr>
                <w:sz w:val="17"/>
                <w:lang w:val="es-PE"/>
              </w:rPr>
              <w:t xml:space="preserve">Fenómeno </w:t>
            </w:r>
            <w:r>
              <w:rPr>
                <w:sz w:val="17"/>
                <w:lang w:val="es-PE"/>
              </w:rPr>
              <w:t xml:space="preserve">de </w:t>
            </w:r>
            <w:r w:rsidRPr="003E0D14">
              <w:rPr>
                <w:sz w:val="17"/>
                <w:lang w:val="es-PE"/>
              </w:rPr>
              <w:t>El Niño. Calentamiento anormal del océano Pacífico que altera el clima. El FEN costero calienta el mar frente al Perú y Ecuador; el FEN global se origina en el Pacífico central y modifica el clima del planeta.</w:t>
            </w:r>
          </w:p>
        </w:tc>
      </w:tr>
      <w:tr w:rsidR="00C75A27" w:rsidRPr="001D477C" w14:paraId="42717580" w14:textId="77777777">
        <w:trPr>
          <w:cantSplit/>
          <w:jc w:val="center"/>
        </w:trPr>
        <w:tc>
          <w:tcPr>
            <w:tcW w:w="2608" w:type="dxa"/>
            <w:tcBorders>
              <w:bottom w:val="single" w:sz="4" w:space="0" w:color="D9D9D9"/>
            </w:tcBorders>
          </w:tcPr>
          <w:p w14:paraId="215D7A78" w14:textId="77777777" w:rsidR="00C75A27" w:rsidRDefault="00D4093E">
            <w:pPr>
              <w:spacing w:before="40" w:after="40"/>
              <w:jc w:val="left"/>
            </w:pPr>
            <w:r>
              <w:rPr>
                <w:b/>
                <w:sz w:val="17"/>
              </w:rPr>
              <w:t>FISE</w:t>
            </w:r>
          </w:p>
        </w:tc>
        <w:tc>
          <w:tcPr>
            <w:tcW w:w="5896" w:type="dxa"/>
            <w:tcBorders>
              <w:bottom w:val="single" w:sz="4" w:space="0" w:color="D9D9D9"/>
            </w:tcBorders>
          </w:tcPr>
          <w:p w14:paraId="1A301A66" w14:textId="77777777" w:rsidR="00C75A27" w:rsidRPr="003E0D14" w:rsidRDefault="00D4093E">
            <w:pPr>
              <w:spacing w:before="40" w:after="40"/>
              <w:jc w:val="left"/>
              <w:rPr>
                <w:lang w:val="es-PE"/>
              </w:rPr>
            </w:pPr>
            <w:r w:rsidRPr="003E0D14">
              <w:rPr>
                <w:sz w:val="17"/>
                <w:lang w:val="es-PE"/>
              </w:rPr>
              <w:t>Fondo de Inclusión Social Energético. Financia el acceso a la energía de la población vulnerable, incluidas redes y conexiones de gas natural.</w:t>
            </w:r>
          </w:p>
        </w:tc>
      </w:tr>
      <w:tr w:rsidR="00C75A27" w:rsidRPr="004F3DB7" w14:paraId="360E2DD7" w14:textId="77777777">
        <w:trPr>
          <w:cantSplit/>
          <w:jc w:val="center"/>
        </w:trPr>
        <w:tc>
          <w:tcPr>
            <w:tcW w:w="2608" w:type="dxa"/>
            <w:tcBorders>
              <w:bottom w:val="single" w:sz="4" w:space="0" w:color="D9D9D9"/>
            </w:tcBorders>
          </w:tcPr>
          <w:p w14:paraId="65361DA9" w14:textId="77777777" w:rsidR="00C75A27" w:rsidRDefault="00D4093E">
            <w:pPr>
              <w:spacing w:before="40" w:after="40"/>
              <w:jc w:val="left"/>
            </w:pPr>
            <w:r>
              <w:rPr>
                <w:b/>
                <w:sz w:val="17"/>
              </w:rPr>
              <w:t>FMI</w:t>
            </w:r>
          </w:p>
        </w:tc>
        <w:tc>
          <w:tcPr>
            <w:tcW w:w="5896" w:type="dxa"/>
            <w:tcBorders>
              <w:bottom w:val="single" w:sz="4" w:space="0" w:color="D9D9D9"/>
            </w:tcBorders>
          </w:tcPr>
          <w:p w14:paraId="681CDB19" w14:textId="77777777" w:rsidR="00C75A27" w:rsidRPr="003E0D14" w:rsidRDefault="00D4093E">
            <w:pPr>
              <w:spacing w:before="40" w:after="40"/>
              <w:jc w:val="left"/>
              <w:rPr>
                <w:lang w:val="es-PE"/>
              </w:rPr>
            </w:pPr>
            <w:r w:rsidRPr="003E0D14">
              <w:rPr>
                <w:sz w:val="17"/>
                <w:lang w:val="es-PE"/>
              </w:rPr>
              <w:t>Fondo Monetario Internacional.</w:t>
            </w:r>
          </w:p>
        </w:tc>
      </w:tr>
      <w:tr w:rsidR="00C75A27" w:rsidRPr="001D477C" w14:paraId="6FB5233A" w14:textId="77777777">
        <w:trPr>
          <w:cantSplit/>
          <w:jc w:val="center"/>
        </w:trPr>
        <w:tc>
          <w:tcPr>
            <w:tcW w:w="2608" w:type="dxa"/>
            <w:tcBorders>
              <w:bottom w:val="single" w:sz="4" w:space="0" w:color="D9D9D9"/>
            </w:tcBorders>
          </w:tcPr>
          <w:p w14:paraId="59017030" w14:textId="77777777" w:rsidR="00C75A27" w:rsidRDefault="00D4093E">
            <w:pPr>
              <w:spacing w:before="40" w:after="40"/>
              <w:jc w:val="left"/>
            </w:pPr>
            <w:r>
              <w:rPr>
                <w:b/>
                <w:sz w:val="17"/>
              </w:rPr>
              <w:t>FSRU</w:t>
            </w:r>
          </w:p>
        </w:tc>
        <w:tc>
          <w:tcPr>
            <w:tcW w:w="5896" w:type="dxa"/>
            <w:tcBorders>
              <w:bottom w:val="single" w:sz="4" w:space="0" w:color="D9D9D9"/>
            </w:tcBorders>
          </w:tcPr>
          <w:p w14:paraId="2739CE89" w14:textId="77777777" w:rsidR="00C75A27" w:rsidRPr="003E0D14" w:rsidRDefault="00D4093E">
            <w:pPr>
              <w:spacing w:before="40" w:after="40"/>
              <w:jc w:val="left"/>
              <w:rPr>
                <w:lang w:val="es-PE"/>
              </w:rPr>
            </w:pPr>
            <w:r w:rsidRPr="003E0D14">
              <w:rPr>
                <w:sz w:val="17"/>
                <w:lang w:val="es-PE"/>
              </w:rPr>
              <w:t>Unidad flotante de almacenamiento y regasificación (floating storage and regasification unit). Buque que recibe gas natural licuado, lo almacena y lo regasifica para inyectarlo a la red.</w:t>
            </w:r>
          </w:p>
        </w:tc>
      </w:tr>
      <w:tr w:rsidR="00C75A27" w:rsidRPr="001D477C" w14:paraId="6D8FC71C" w14:textId="77777777">
        <w:trPr>
          <w:cantSplit/>
          <w:jc w:val="center"/>
        </w:trPr>
        <w:tc>
          <w:tcPr>
            <w:tcW w:w="2608" w:type="dxa"/>
            <w:tcBorders>
              <w:bottom w:val="single" w:sz="4" w:space="0" w:color="D9D9D9"/>
            </w:tcBorders>
          </w:tcPr>
          <w:p w14:paraId="15B57D0E" w14:textId="77777777" w:rsidR="00C75A27" w:rsidRDefault="00D4093E">
            <w:pPr>
              <w:spacing w:before="40" w:after="40"/>
              <w:jc w:val="left"/>
            </w:pPr>
            <w:r>
              <w:rPr>
                <w:b/>
                <w:sz w:val="17"/>
              </w:rPr>
              <w:lastRenderedPageBreak/>
              <w:t>Gas asociado</w:t>
            </w:r>
          </w:p>
        </w:tc>
        <w:tc>
          <w:tcPr>
            <w:tcW w:w="5896" w:type="dxa"/>
            <w:tcBorders>
              <w:bottom w:val="single" w:sz="4" w:space="0" w:color="D9D9D9"/>
            </w:tcBorders>
          </w:tcPr>
          <w:p w14:paraId="6E8B357C" w14:textId="77777777" w:rsidR="00C75A27" w:rsidRPr="003E0D14" w:rsidRDefault="00D4093E">
            <w:pPr>
              <w:spacing w:before="40" w:after="40"/>
              <w:jc w:val="left"/>
              <w:rPr>
                <w:lang w:val="es-PE"/>
              </w:rPr>
            </w:pPr>
            <w:r w:rsidRPr="003E0D14">
              <w:rPr>
                <w:sz w:val="17"/>
                <w:lang w:val="es-PE"/>
              </w:rPr>
              <w:t>Gas natural en contacto o disuelto en el crudo del yacimiento.</w:t>
            </w:r>
          </w:p>
        </w:tc>
      </w:tr>
      <w:tr w:rsidR="00C75A27" w:rsidRPr="001D477C" w14:paraId="44306BA7" w14:textId="77777777">
        <w:trPr>
          <w:cantSplit/>
          <w:jc w:val="center"/>
        </w:trPr>
        <w:tc>
          <w:tcPr>
            <w:tcW w:w="2608" w:type="dxa"/>
            <w:tcBorders>
              <w:bottom w:val="single" w:sz="4" w:space="0" w:color="D9D9D9"/>
            </w:tcBorders>
          </w:tcPr>
          <w:p w14:paraId="3FD6811F" w14:textId="77777777" w:rsidR="00C75A27" w:rsidRDefault="00D4093E">
            <w:pPr>
              <w:spacing w:before="40" w:after="40"/>
              <w:jc w:val="left"/>
            </w:pPr>
            <w:r>
              <w:rPr>
                <w:b/>
                <w:sz w:val="17"/>
              </w:rPr>
              <w:t>Gas combustible</w:t>
            </w:r>
          </w:p>
        </w:tc>
        <w:tc>
          <w:tcPr>
            <w:tcW w:w="5896" w:type="dxa"/>
            <w:tcBorders>
              <w:bottom w:val="single" w:sz="4" w:space="0" w:color="D9D9D9"/>
            </w:tcBorders>
          </w:tcPr>
          <w:p w14:paraId="23245728" w14:textId="6D2C449A" w:rsidR="00C75A27" w:rsidRPr="003E0D14" w:rsidRDefault="00D4093E">
            <w:pPr>
              <w:spacing w:before="40" w:after="40"/>
              <w:jc w:val="left"/>
              <w:rPr>
                <w:lang w:val="es-PE"/>
              </w:rPr>
            </w:pPr>
            <w:r w:rsidRPr="003E0D14">
              <w:rPr>
                <w:sz w:val="17"/>
                <w:lang w:val="es-PE"/>
              </w:rPr>
              <w:t xml:space="preserve">Gas de cualquiera de las tres familias de gases combustibles </w:t>
            </w:r>
            <w:r>
              <w:rPr>
                <w:sz w:val="17"/>
                <w:lang w:val="es-PE"/>
              </w:rPr>
              <w:t>–</w:t>
            </w:r>
            <w:r w:rsidRPr="003E0D14">
              <w:rPr>
                <w:sz w:val="17"/>
                <w:lang w:val="es-PE"/>
              </w:rPr>
              <w:t>gases manufacturados, gas natural y gas licuado de petróleo</w:t>
            </w:r>
            <w:r>
              <w:rPr>
                <w:sz w:val="17"/>
                <w:lang w:val="es-PE"/>
              </w:rPr>
              <w:t>–</w:t>
            </w:r>
            <w:r w:rsidRPr="003E0D14">
              <w:rPr>
                <w:sz w:val="17"/>
                <w:lang w:val="es-PE"/>
              </w:rPr>
              <w:t xml:space="preserve"> cuyas características permiten su empleo en artefactos a gas.</w:t>
            </w:r>
          </w:p>
        </w:tc>
      </w:tr>
      <w:tr w:rsidR="00C75A27" w14:paraId="3CDA6F92" w14:textId="77777777">
        <w:trPr>
          <w:cantSplit/>
          <w:jc w:val="center"/>
        </w:trPr>
        <w:tc>
          <w:tcPr>
            <w:tcW w:w="2608" w:type="dxa"/>
            <w:tcBorders>
              <w:bottom w:val="single" w:sz="4" w:space="0" w:color="D9D9D9"/>
            </w:tcBorders>
          </w:tcPr>
          <w:p w14:paraId="109EC282" w14:textId="77777777" w:rsidR="00C75A27" w:rsidRPr="003E0D14" w:rsidRDefault="00D4093E">
            <w:pPr>
              <w:spacing w:before="40" w:after="40"/>
              <w:jc w:val="left"/>
              <w:rPr>
                <w:lang w:val="es-PE"/>
              </w:rPr>
            </w:pPr>
            <w:r w:rsidRPr="003E0D14">
              <w:rPr>
                <w:b/>
                <w:sz w:val="17"/>
                <w:lang w:val="es-PE"/>
              </w:rPr>
              <w:t>Gas licuado de petróleo (GLP)</w:t>
            </w:r>
          </w:p>
        </w:tc>
        <w:tc>
          <w:tcPr>
            <w:tcW w:w="5896" w:type="dxa"/>
            <w:tcBorders>
              <w:bottom w:val="single" w:sz="4" w:space="0" w:color="D9D9D9"/>
            </w:tcBorders>
          </w:tcPr>
          <w:p w14:paraId="3598AABA" w14:textId="77777777" w:rsidR="00C75A27" w:rsidRDefault="00D4093E">
            <w:pPr>
              <w:spacing w:before="40" w:after="40"/>
              <w:jc w:val="left"/>
            </w:pPr>
            <w:r w:rsidRPr="003E0D14">
              <w:rPr>
                <w:sz w:val="17"/>
                <w:lang w:val="es-PE"/>
              </w:rPr>
              <w:t xml:space="preserve">Hidrocarburo compuesto principalmente por propano y butano, extraído del procesamiento del gas natural o del petróleo. </w:t>
            </w:r>
            <w:r>
              <w:rPr>
                <w:sz w:val="17"/>
              </w:rPr>
              <w:t>Se distribuye sobre todo en cilindros y redes urbanas.</w:t>
            </w:r>
          </w:p>
        </w:tc>
      </w:tr>
      <w:tr w:rsidR="00C75A27" w:rsidRPr="001D477C" w14:paraId="514D2C9D" w14:textId="77777777">
        <w:trPr>
          <w:cantSplit/>
          <w:jc w:val="center"/>
        </w:trPr>
        <w:tc>
          <w:tcPr>
            <w:tcW w:w="2608" w:type="dxa"/>
            <w:tcBorders>
              <w:bottom w:val="single" w:sz="4" w:space="0" w:color="D9D9D9"/>
            </w:tcBorders>
          </w:tcPr>
          <w:p w14:paraId="22F71141" w14:textId="77777777" w:rsidR="00C75A27" w:rsidRDefault="00D4093E">
            <w:pPr>
              <w:spacing w:before="40" w:after="40"/>
              <w:jc w:val="left"/>
            </w:pPr>
            <w:r>
              <w:rPr>
                <w:b/>
                <w:sz w:val="17"/>
              </w:rPr>
              <w:t>Gas natural</w:t>
            </w:r>
          </w:p>
        </w:tc>
        <w:tc>
          <w:tcPr>
            <w:tcW w:w="5896" w:type="dxa"/>
            <w:tcBorders>
              <w:bottom w:val="single" w:sz="4" w:space="0" w:color="D9D9D9"/>
            </w:tcBorders>
          </w:tcPr>
          <w:p w14:paraId="7B5D9C96" w14:textId="77777777" w:rsidR="00C75A27" w:rsidRPr="003E0D14" w:rsidRDefault="00D4093E">
            <w:pPr>
              <w:spacing w:before="40" w:after="40"/>
              <w:jc w:val="left"/>
              <w:rPr>
                <w:lang w:val="es-PE"/>
              </w:rPr>
            </w:pPr>
            <w:r w:rsidRPr="003E0D14">
              <w:rPr>
                <w:sz w:val="17"/>
                <w:lang w:val="es-PE"/>
              </w:rPr>
              <w:t>Mezcla de gases de composición variable según el yacimiento, compuesta principalmente por metano, que comúnmente supera el 90 %.</w:t>
            </w:r>
          </w:p>
        </w:tc>
      </w:tr>
      <w:tr w:rsidR="00C75A27" w:rsidRPr="001D477C" w14:paraId="50B9A0E0" w14:textId="77777777">
        <w:trPr>
          <w:cantSplit/>
          <w:jc w:val="center"/>
        </w:trPr>
        <w:tc>
          <w:tcPr>
            <w:tcW w:w="2608" w:type="dxa"/>
            <w:tcBorders>
              <w:bottom w:val="single" w:sz="4" w:space="0" w:color="D9D9D9"/>
            </w:tcBorders>
          </w:tcPr>
          <w:p w14:paraId="18B56246" w14:textId="77777777" w:rsidR="00C75A27" w:rsidRDefault="00D4093E">
            <w:pPr>
              <w:spacing w:before="40" w:after="40"/>
              <w:jc w:val="left"/>
            </w:pPr>
            <w:r>
              <w:rPr>
                <w:b/>
                <w:sz w:val="17"/>
              </w:rPr>
              <w:t>Gas natural comprimido (GNC)</w:t>
            </w:r>
          </w:p>
        </w:tc>
        <w:tc>
          <w:tcPr>
            <w:tcW w:w="5896" w:type="dxa"/>
            <w:tcBorders>
              <w:bottom w:val="single" w:sz="4" w:space="0" w:color="D9D9D9"/>
            </w:tcBorders>
          </w:tcPr>
          <w:p w14:paraId="0187C5BD" w14:textId="77777777" w:rsidR="00C75A27" w:rsidRPr="003E0D14" w:rsidRDefault="00D4093E">
            <w:pPr>
              <w:spacing w:before="40" w:after="40"/>
              <w:jc w:val="left"/>
              <w:rPr>
                <w:lang w:val="es-PE"/>
              </w:rPr>
            </w:pPr>
            <w:r w:rsidRPr="003E0D14">
              <w:rPr>
                <w:sz w:val="17"/>
                <w:lang w:val="es-PE"/>
              </w:rPr>
              <w:t>Gas natural cuya presión se aumenta por compresión y se almacena en recipientes de alta resistencia para su transporte por carretera.</w:t>
            </w:r>
          </w:p>
        </w:tc>
      </w:tr>
      <w:tr w:rsidR="00C75A27" w:rsidRPr="001D477C" w14:paraId="4C320DDB" w14:textId="77777777">
        <w:trPr>
          <w:cantSplit/>
          <w:jc w:val="center"/>
        </w:trPr>
        <w:tc>
          <w:tcPr>
            <w:tcW w:w="2608" w:type="dxa"/>
            <w:tcBorders>
              <w:bottom w:val="single" w:sz="4" w:space="0" w:color="D9D9D9"/>
            </w:tcBorders>
          </w:tcPr>
          <w:p w14:paraId="7C5D9A92" w14:textId="77777777" w:rsidR="00C75A27" w:rsidRDefault="00D4093E">
            <w:pPr>
              <w:spacing w:before="40" w:after="40"/>
              <w:jc w:val="left"/>
            </w:pPr>
            <w:r>
              <w:rPr>
                <w:b/>
                <w:sz w:val="17"/>
              </w:rPr>
              <w:t>Gas natural licuado (GNL)</w:t>
            </w:r>
          </w:p>
        </w:tc>
        <w:tc>
          <w:tcPr>
            <w:tcW w:w="5896" w:type="dxa"/>
            <w:tcBorders>
              <w:bottom w:val="single" w:sz="4" w:space="0" w:color="D9D9D9"/>
            </w:tcBorders>
          </w:tcPr>
          <w:p w14:paraId="2DFFDF9B" w14:textId="77777777" w:rsidR="00C75A27" w:rsidRPr="003E0D14" w:rsidRDefault="00D4093E">
            <w:pPr>
              <w:spacing w:before="40" w:after="40"/>
              <w:jc w:val="left"/>
              <w:rPr>
                <w:lang w:val="es-PE"/>
              </w:rPr>
            </w:pPr>
            <w:r w:rsidRPr="003E0D14">
              <w:rPr>
                <w:sz w:val="17"/>
                <w:lang w:val="es-PE"/>
              </w:rPr>
              <w:t>Gas natural enfriado hasta −162 °C a presión atmosférica, con lo que reduce su volumen unas 600 veces y puede transportarse en cisternas o buques.</w:t>
            </w:r>
          </w:p>
        </w:tc>
      </w:tr>
      <w:tr w:rsidR="00C75A27" w:rsidRPr="001D477C" w14:paraId="38988633" w14:textId="77777777">
        <w:trPr>
          <w:cantSplit/>
          <w:jc w:val="center"/>
        </w:trPr>
        <w:tc>
          <w:tcPr>
            <w:tcW w:w="2608" w:type="dxa"/>
            <w:tcBorders>
              <w:bottom w:val="single" w:sz="4" w:space="0" w:color="D9D9D9"/>
            </w:tcBorders>
          </w:tcPr>
          <w:p w14:paraId="374A6E84" w14:textId="77777777" w:rsidR="00C75A27" w:rsidRDefault="00D4093E">
            <w:pPr>
              <w:spacing w:before="40" w:after="40"/>
              <w:jc w:val="left"/>
            </w:pPr>
            <w:r>
              <w:rPr>
                <w:b/>
                <w:sz w:val="17"/>
              </w:rPr>
              <w:t>Gas natural vehicular (GNV)</w:t>
            </w:r>
          </w:p>
        </w:tc>
        <w:tc>
          <w:tcPr>
            <w:tcW w:w="5896" w:type="dxa"/>
            <w:tcBorders>
              <w:bottom w:val="single" w:sz="4" w:space="0" w:color="D9D9D9"/>
            </w:tcBorders>
          </w:tcPr>
          <w:p w14:paraId="3D7E7D45" w14:textId="77777777" w:rsidR="00C75A27" w:rsidRPr="003E0D14" w:rsidRDefault="00D4093E">
            <w:pPr>
              <w:spacing w:before="40" w:after="40"/>
              <w:jc w:val="left"/>
              <w:rPr>
                <w:lang w:val="es-PE"/>
              </w:rPr>
            </w:pPr>
            <w:r w:rsidRPr="003E0D14">
              <w:rPr>
                <w:sz w:val="17"/>
                <w:lang w:val="es-PE"/>
              </w:rPr>
              <w:t>Gas natural usado como combustible vehicular. El GNV-C es comprimido y está pensado para el uso urbano; el GNV-L es licuado y es el que hace posible la larga distancia.</w:t>
            </w:r>
          </w:p>
        </w:tc>
      </w:tr>
      <w:tr w:rsidR="00C75A27" w:rsidRPr="001D477C" w14:paraId="003717CF" w14:textId="77777777">
        <w:trPr>
          <w:cantSplit/>
          <w:jc w:val="center"/>
        </w:trPr>
        <w:tc>
          <w:tcPr>
            <w:tcW w:w="2608" w:type="dxa"/>
            <w:tcBorders>
              <w:bottom w:val="single" w:sz="4" w:space="0" w:color="D9D9D9"/>
            </w:tcBorders>
          </w:tcPr>
          <w:p w14:paraId="4E612CF7" w14:textId="77777777" w:rsidR="00C75A27" w:rsidRDefault="00D4093E">
            <w:pPr>
              <w:spacing w:before="40" w:after="40"/>
              <w:jc w:val="left"/>
            </w:pPr>
            <w:r>
              <w:rPr>
                <w:b/>
                <w:sz w:val="17"/>
              </w:rPr>
              <w:t>Gas no asociado</w:t>
            </w:r>
          </w:p>
        </w:tc>
        <w:tc>
          <w:tcPr>
            <w:tcW w:w="5896" w:type="dxa"/>
            <w:tcBorders>
              <w:bottom w:val="single" w:sz="4" w:space="0" w:color="D9D9D9"/>
            </w:tcBorders>
          </w:tcPr>
          <w:p w14:paraId="0106E2CA" w14:textId="77777777" w:rsidR="00C75A27" w:rsidRPr="003E0D14" w:rsidRDefault="00D4093E">
            <w:pPr>
              <w:spacing w:before="40" w:after="40"/>
              <w:jc w:val="left"/>
              <w:rPr>
                <w:lang w:val="es-PE"/>
              </w:rPr>
            </w:pPr>
            <w:r w:rsidRPr="003E0D14">
              <w:rPr>
                <w:sz w:val="17"/>
                <w:lang w:val="es-PE"/>
              </w:rPr>
              <w:t>Gas natural de yacimientos que no contienen crudo en las condiciones originales de presión y temperatura.</w:t>
            </w:r>
          </w:p>
        </w:tc>
      </w:tr>
      <w:tr w:rsidR="00C75A27" w:rsidRPr="001D477C" w14:paraId="14B64F50" w14:textId="77777777">
        <w:trPr>
          <w:cantSplit/>
          <w:jc w:val="center"/>
        </w:trPr>
        <w:tc>
          <w:tcPr>
            <w:tcW w:w="2608" w:type="dxa"/>
            <w:tcBorders>
              <w:bottom w:val="single" w:sz="4" w:space="0" w:color="D9D9D9"/>
            </w:tcBorders>
          </w:tcPr>
          <w:p w14:paraId="5C990B0F" w14:textId="77777777" w:rsidR="00C75A27" w:rsidRPr="00B4606A" w:rsidRDefault="00D4093E">
            <w:pPr>
              <w:spacing w:before="40" w:after="40"/>
              <w:jc w:val="left"/>
              <w:rPr>
                <w:lang w:val="pt-BR"/>
              </w:rPr>
            </w:pPr>
            <w:r w:rsidRPr="00B4606A">
              <w:rPr>
                <w:b/>
                <w:sz w:val="17"/>
                <w:lang w:val="pt-BR"/>
              </w:rPr>
              <w:t>Gases de efecto invernadero (GEI)</w:t>
            </w:r>
          </w:p>
        </w:tc>
        <w:tc>
          <w:tcPr>
            <w:tcW w:w="5896" w:type="dxa"/>
            <w:tcBorders>
              <w:bottom w:val="single" w:sz="4" w:space="0" w:color="D9D9D9"/>
            </w:tcBorders>
          </w:tcPr>
          <w:p w14:paraId="764A1FE3" w14:textId="77777777" w:rsidR="00C75A27" w:rsidRPr="003E0D14" w:rsidRDefault="00D4093E">
            <w:pPr>
              <w:spacing w:before="40" w:after="40"/>
              <w:jc w:val="left"/>
              <w:rPr>
                <w:lang w:val="es-PE"/>
              </w:rPr>
            </w:pPr>
            <w:r w:rsidRPr="003E0D14">
              <w:rPr>
                <w:sz w:val="17"/>
                <w:lang w:val="es-PE"/>
              </w:rPr>
              <w:t>Gases que absorben y emiten radiación infrarroja; son la causa del efecto invernadero.</w:t>
            </w:r>
          </w:p>
        </w:tc>
      </w:tr>
      <w:tr w:rsidR="00C75A27" w:rsidRPr="001D477C" w14:paraId="7A599882" w14:textId="77777777">
        <w:trPr>
          <w:cantSplit/>
          <w:jc w:val="center"/>
        </w:trPr>
        <w:tc>
          <w:tcPr>
            <w:tcW w:w="2608" w:type="dxa"/>
            <w:tcBorders>
              <w:bottom w:val="single" w:sz="4" w:space="0" w:color="D9D9D9"/>
            </w:tcBorders>
          </w:tcPr>
          <w:p w14:paraId="310D6FAE" w14:textId="77777777" w:rsidR="00C75A27" w:rsidRDefault="00D4093E">
            <w:pPr>
              <w:spacing w:before="40" w:after="40"/>
              <w:jc w:val="left"/>
            </w:pPr>
            <w:r>
              <w:rPr>
                <w:b/>
                <w:sz w:val="17"/>
              </w:rPr>
              <w:t>Gpc</w:t>
            </w:r>
          </w:p>
        </w:tc>
        <w:tc>
          <w:tcPr>
            <w:tcW w:w="5896" w:type="dxa"/>
            <w:tcBorders>
              <w:bottom w:val="single" w:sz="4" w:space="0" w:color="D9D9D9"/>
            </w:tcBorders>
          </w:tcPr>
          <w:p w14:paraId="6B8221DA" w14:textId="77777777" w:rsidR="00C75A27" w:rsidRPr="003E0D14" w:rsidRDefault="00D4093E">
            <w:pPr>
              <w:spacing w:before="40" w:after="40"/>
              <w:jc w:val="left"/>
              <w:rPr>
                <w:lang w:val="es-PE"/>
              </w:rPr>
            </w:pPr>
            <w:r w:rsidRPr="003E0D14">
              <w:rPr>
                <w:sz w:val="17"/>
                <w:lang w:val="es-PE"/>
              </w:rPr>
              <w:t>Giga pies cúbicos: mil millones de pies cúbicos. Unidad de volumen de gas natural, usada para reservas y producción anual.</w:t>
            </w:r>
          </w:p>
        </w:tc>
      </w:tr>
      <w:tr w:rsidR="00C75A27" w14:paraId="0CA6145F" w14:textId="77777777">
        <w:trPr>
          <w:cantSplit/>
          <w:jc w:val="center"/>
        </w:trPr>
        <w:tc>
          <w:tcPr>
            <w:tcW w:w="2608" w:type="dxa"/>
            <w:tcBorders>
              <w:bottom w:val="single" w:sz="4" w:space="0" w:color="D9D9D9"/>
            </w:tcBorders>
          </w:tcPr>
          <w:p w14:paraId="5A3CBE38" w14:textId="77777777" w:rsidR="00C75A27" w:rsidRDefault="00D4093E">
            <w:pPr>
              <w:spacing w:before="40" w:after="40"/>
              <w:jc w:val="left"/>
            </w:pPr>
            <w:r>
              <w:rPr>
                <w:b/>
                <w:sz w:val="17"/>
              </w:rPr>
              <w:t>Gpcd</w:t>
            </w:r>
          </w:p>
        </w:tc>
        <w:tc>
          <w:tcPr>
            <w:tcW w:w="5896" w:type="dxa"/>
            <w:tcBorders>
              <w:bottom w:val="single" w:sz="4" w:space="0" w:color="D9D9D9"/>
            </w:tcBorders>
          </w:tcPr>
          <w:p w14:paraId="675A4215" w14:textId="77777777" w:rsidR="00C75A27" w:rsidRDefault="00D4093E">
            <w:pPr>
              <w:spacing w:before="40" w:after="40"/>
              <w:jc w:val="left"/>
            </w:pPr>
            <w:r>
              <w:rPr>
                <w:sz w:val="17"/>
              </w:rPr>
              <w:t>Giga pies cúbicos diarios.</w:t>
            </w:r>
          </w:p>
        </w:tc>
      </w:tr>
      <w:tr w:rsidR="00C75A27" w:rsidRPr="001D477C" w14:paraId="3CADBA3D" w14:textId="77777777">
        <w:trPr>
          <w:cantSplit/>
          <w:jc w:val="center"/>
        </w:trPr>
        <w:tc>
          <w:tcPr>
            <w:tcW w:w="2608" w:type="dxa"/>
            <w:tcBorders>
              <w:bottom w:val="single" w:sz="4" w:space="0" w:color="D9D9D9"/>
            </w:tcBorders>
          </w:tcPr>
          <w:p w14:paraId="13155086" w14:textId="77777777" w:rsidR="00C75A27" w:rsidRDefault="00D4093E">
            <w:pPr>
              <w:spacing w:before="40" w:after="40"/>
              <w:jc w:val="left"/>
            </w:pPr>
            <w:r>
              <w:rPr>
                <w:b/>
                <w:sz w:val="17"/>
              </w:rPr>
              <w:t>GWh</w:t>
            </w:r>
          </w:p>
        </w:tc>
        <w:tc>
          <w:tcPr>
            <w:tcW w:w="5896" w:type="dxa"/>
            <w:tcBorders>
              <w:bottom w:val="single" w:sz="4" w:space="0" w:color="D9D9D9"/>
            </w:tcBorders>
          </w:tcPr>
          <w:p w14:paraId="33BEE040" w14:textId="77777777" w:rsidR="00C75A27" w:rsidRPr="003E0D14" w:rsidRDefault="00D4093E">
            <w:pPr>
              <w:spacing w:before="40" w:after="40"/>
              <w:jc w:val="left"/>
              <w:rPr>
                <w:lang w:val="es-PE"/>
              </w:rPr>
            </w:pPr>
            <w:r w:rsidRPr="003E0D14">
              <w:rPr>
                <w:sz w:val="17"/>
                <w:lang w:val="es-PE"/>
              </w:rPr>
              <w:t>Gigavatio hora: unidad de energía eléctrica equivalente a mil megavatios hora.</w:t>
            </w:r>
          </w:p>
        </w:tc>
      </w:tr>
      <w:tr w:rsidR="00C75A27" w:rsidRPr="001D477C" w14:paraId="1E3D53BD" w14:textId="77777777">
        <w:trPr>
          <w:cantSplit/>
          <w:jc w:val="center"/>
        </w:trPr>
        <w:tc>
          <w:tcPr>
            <w:tcW w:w="2608" w:type="dxa"/>
            <w:tcBorders>
              <w:bottom w:val="single" w:sz="4" w:space="0" w:color="D9D9D9"/>
            </w:tcBorders>
          </w:tcPr>
          <w:p w14:paraId="5A6833D6" w14:textId="77777777" w:rsidR="00C75A27" w:rsidRDefault="00D4093E">
            <w:pPr>
              <w:spacing w:before="40" w:after="40"/>
              <w:jc w:val="left"/>
            </w:pPr>
            <w:r>
              <w:rPr>
                <w:b/>
                <w:sz w:val="17"/>
              </w:rPr>
              <w:t>Henry Hub</w:t>
            </w:r>
          </w:p>
        </w:tc>
        <w:tc>
          <w:tcPr>
            <w:tcW w:w="5896" w:type="dxa"/>
            <w:tcBorders>
              <w:bottom w:val="single" w:sz="4" w:space="0" w:color="D9D9D9"/>
            </w:tcBorders>
          </w:tcPr>
          <w:p w14:paraId="6A9982D7" w14:textId="77777777" w:rsidR="00C75A27" w:rsidRPr="003E0D14" w:rsidRDefault="00D4093E">
            <w:pPr>
              <w:spacing w:before="40" w:after="40"/>
              <w:jc w:val="left"/>
              <w:rPr>
                <w:lang w:val="es-PE"/>
              </w:rPr>
            </w:pPr>
            <w:r w:rsidRPr="003E0D14">
              <w:rPr>
                <w:sz w:val="17"/>
                <w:lang w:val="es-PE"/>
              </w:rPr>
              <w:t>Punto de confluencia de ductos en Luisiana (Estados Unidos) que da nombre al precio de referencia del gas natural norteamericano.</w:t>
            </w:r>
          </w:p>
        </w:tc>
      </w:tr>
      <w:tr w:rsidR="00C75A27" w:rsidRPr="001D477C" w14:paraId="182B5C6B" w14:textId="77777777">
        <w:trPr>
          <w:cantSplit/>
          <w:jc w:val="center"/>
        </w:trPr>
        <w:tc>
          <w:tcPr>
            <w:tcW w:w="2608" w:type="dxa"/>
            <w:tcBorders>
              <w:bottom w:val="single" w:sz="4" w:space="0" w:color="D9D9D9"/>
            </w:tcBorders>
          </w:tcPr>
          <w:p w14:paraId="31C24723" w14:textId="77777777" w:rsidR="00C75A27" w:rsidRDefault="00D4093E">
            <w:pPr>
              <w:spacing w:before="40" w:after="40"/>
              <w:jc w:val="left"/>
            </w:pPr>
            <w:r>
              <w:rPr>
                <w:b/>
                <w:sz w:val="17"/>
              </w:rPr>
              <w:t>IAR</w:t>
            </w:r>
          </w:p>
        </w:tc>
        <w:tc>
          <w:tcPr>
            <w:tcW w:w="5896" w:type="dxa"/>
            <w:tcBorders>
              <w:bottom w:val="single" w:sz="4" w:space="0" w:color="D9D9D9"/>
            </w:tcBorders>
          </w:tcPr>
          <w:p w14:paraId="052FDC84" w14:textId="77777777" w:rsidR="00C75A27" w:rsidRPr="003E0D14" w:rsidRDefault="00D4093E">
            <w:pPr>
              <w:spacing w:before="40" w:after="40"/>
              <w:jc w:val="left"/>
              <w:rPr>
                <w:lang w:val="es-PE"/>
              </w:rPr>
            </w:pPr>
            <w:r w:rsidRPr="003E0D14">
              <w:rPr>
                <w:sz w:val="17"/>
                <w:lang w:val="es-PE"/>
              </w:rPr>
              <w:t>Índice de autonomía de reservas. Años que alcanzarían las reservas probadas de mantenerse el nivel de producción actual.</w:t>
            </w:r>
          </w:p>
        </w:tc>
      </w:tr>
      <w:tr w:rsidR="00C75A27" w:rsidRPr="001D477C" w14:paraId="3AAC22F1" w14:textId="77777777">
        <w:trPr>
          <w:cantSplit/>
          <w:jc w:val="center"/>
        </w:trPr>
        <w:tc>
          <w:tcPr>
            <w:tcW w:w="2608" w:type="dxa"/>
            <w:tcBorders>
              <w:bottom w:val="single" w:sz="4" w:space="0" w:color="D9D9D9"/>
            </w:tcBorders>
          </w:tcPr>
          <w:p w14:paraId="52852BA5" w14:textId="77777777" w:rsidR="00C75A27" w:rsidRPr="003E0D14" w:rsidRDefault="00D4093E">
            <w:pPr>
              <w:spacing w:before="40" w:after="40"/>
              <w:jc w:val="left"/>
              <w:rPr>
                <w:lang w:val="es-PE"/>
              </w:rPr>
            </w:pPr>
            <w:r w:rsidRPr="003E0D14">
              <w:rPr>
                <w:b/>
                <w:sz w:val="17"/>
                <w:lang w:val="es-PE"/>
              </w:rPr>
              <w:t>Índice de comprobación de reservas</w:t>
            </w:r>
          </w:p>
        </w:tc>
        <w:tc>
          <w:tcPr>
            <w:tcW w:w="5896" w:type="dxa"/>
            <w:tcBorders>
              <w:bottom w:val="single" w:sz="4" w:space="0" w:color="D9D9D9"/>
            </w:tcBorders>
          </w:tcPr>
          <w:p w14:paraId="59E82A50" w14:textId="77777777" w:rsidR="00C75A27" w:rsidRPr="003E0D14" w:rsidRDefault="00D4093E">
            <w:pPr>
              <w:spacing w:before="40" w:after="40"/>
              <w:jc w:val="left"/>
              <w:rPr>
                <w:lang w:val="es-PE"/>
              </w:rPr>
            </w:pPr>
            <w:r w:rsidRPr="003E0D14">
              <w:rPr>
                <w:sz w:val="17"/>
                <w:lang w:val="es-PE"/>
              </w:rPr>
              <w:t>Proporción de las reservas probadas sobre el total de reservas, incluidas probables y posibles.</w:t>
            </w:r>
          </w:p>
        </w:tc>
      </w:tr>
      <w:tr w:rsidR="00C75A27" w:rsidRPr="001D477C" w14:paraId="03552B5D" w14:textId="77777777">
        <w:trPr>
          <w:cantSplit/>
          <w:jc w:val="center"/>
        </w:trPr>
        <w:tc>
          <w:tcPr>
            <w:tcW w:w="2608" w:type="dxa"/>
            <w:tcBorders>
              <w:bottom w:val="single" w:sz="4" w:space="0" w:color="D9D9D9"/>
            </w:tcBorders>
          </w:tcPr>
          <w:p w14:paraId="78C55642" w14:textId="77777777" w:rsidR="00C75A27" w:rsidRDefault="00D4093E">
            <w:pPr>
              <w:spacing w:before="40" w:after="40"/>
              <w:jc w:val="left"/>
            </w:pPr>
            <w:r>
              <w:rPr>
                <w:b/>
                <w:sz w:val="17"/>
              </w:rPr>
              <w:t>ITS</w:t>
            </w:r>
          </w:p>
        </w:tc>
        <w:tc>
          <w:tcPr>
            <w:tcW w:w="5896" w:type="dxa"/>
            <w:tcBorders>
              <w:bottom w:val="single" w:sz="4" w:space="0" w:color="D9D9D9"/>
            </w:tcBorders>
          </w:tcPr>
          <w:p w14:paraId="458B1298" w14:textId="77777777" w:rsidR="00C75A27" w:rsidRPr="003E0D14" w:rsidRDefault="00D4093E">
            <w:pPr>
              <w:spacing w:before="40" w:after="40"/>
              <w:jc w:val="left"/>
              <w:rPr>
                <w:lang w:val="es-PE"/>
              </w:rPr>
            </w:pPr>
            <w:r w:rsidRPr="003E0D14">
              <w:rPr>
                <w:sz w:val="17"/>
                <w:lang w:val="es-PE"/>
              </w:rPr>
              <w:t>Informe técnico sustentatorio. Instrumento que permite modificar un proyecto con certificación ambiental aprobada cuando los cambios no son significativos.</w:t>
            </w:r>
          </w:p>
        </w:tc>
      </w:tr>
      <w:tr w:rsidR="00C75A27" w:rsidRPr="001D477C" w14:paraId="2F0922B5" w14:textId="77777777">
        <w:trPr>
          <w:cantSplit/>
          <w:jc w:val="center"/>
        </w:trPr>
        <w:tc>
          <w:tcPr>
            <w:tcW w:w="2608" w:type="dxa"/>
            <w:tcBorders>
              <w:bottom w:val="single" w:sz="4" w:space="0" w:color="D9D9D9"/>
            </w:tcBorders>
          </w:tcPr>
          <w:p w14:paraId="756D2F9A" w14:textId="77777777" w:rsidR="00C75A27" w:rsidRDefault="00D4093E">
            <w:pPr>
              <w:spacing w:before="40" w:after="40"/>
              <w:jc w:val="left"/>
            </w:pPr>
            <w:r>
              <w:rPr>
                <w:b/>
                <w:sz w:val="17"/>
              </w:rPr>
              <w:t>JKM</w:t>
            </w:r>
          </w:p>
        </w:tc>
        <w:tc>
          <w:tcPr>
            <w:tcW w:w="5896" w:type="dxa"/>
            <w:tcBorders>
              <w:bottom w:val="single" w:sz="4" w:space="0" w:color="D9D9D9"/>
            </w:tcBorders>
          </w:tcPr>
          <w:p w14:paraId="78C81637" w14:textId="77777777" w:rsidR="00C75A27" w:rsidRPr="003E0D14" w:rsidRDefault="00D4093E">
            <w:pPr>
              <w:spacing w:before="40" w:after="40"/>
              <w:jc w:val="left"/>
              <w:rPr>
                <w:lang w:val="es-PE"/>
              </w:rPr>
            </w:pPr>
            <w:r w:rsidRPr="003E0D14">
              <w:rPr>
                <w:sz w:val="17"/>
                <w:lang w:val="es-PE"/>
              </w:rPr>
              <w:t>Japan Korea Marker. Precio de referencia del gas natural licuado en Asia.</w:t>
            </w:r>
          </w:p>
        </w:tc>
      </w:tr>
      <w:tr w:rsidR="00C75A27" w:rsidRPr="001D477C" w14:paraId="54090578" w14:textId="77777777">
        <w:trPr>
          <w:cantSplit/>
          <w:jc w:val="center"/>
        </w:trPr>
        <w:tc>
          <w:tcPr>
            <w:tcW w:w="2608" w:type="dxa"/>
            <w:tcBorders>
              <w:bottom w:val="single" w:sz="4" w:space="0" w:color="D9D9D9"/>
            </w:tcBorders>
          </w:tcPr>
          <w:p w14:paraId="0C8554CC" w14:textId="77777777" w:rsidR="00C75A27" w:rsidRDefault="00D4093E">
            <w:pPr>
              <w:spacing w:before="40" w:after="40"/>
              <w:jc w:val="left"/>
            </w:pPr>
            <w:r>
              <w:rPr>
                <w:b/>
                <w:sz w:val="17"/>
              </w:rPr>
              <w:t>Licuefacción</w:t>
            </w:r>
          </w:p>
        </w:tc>
        <w:tc>
          <w:tcPr>
            <w:tcW w:w="5896" w:type="dxa"/>
            <w:tcBorders>
              <w:bottom w:val="single" w:sz="4" w:space="0" w:color="D9D9D9"/>
            </w:tcBorders>
          </w:tcPr>
          <w:p w14:paraId="7212BDD2" w14:textId="77777777" w:rsidR="00C75A27" w:rsidRPr="003E0D14" w:rsidRDefault="00D4093E">
            <w:pPr>
              <w:spacing w:before="40" w:after="40"/>
              <w:jc w:val="left"/>
              <w:rPr>
                <w:lang w:val="es-PE"/>
              </w:rPr>
            </w:pPr>
            <w:r w:rsidRPr="003E0D14">
              <w:rPr>
                <w:sz w:val="17"/>
                <w:lang w:val="es-PE"/>
              </w:rPr>
              <w:t>Cambio de estado de la materia, en particular el paso de gaseoso a líquido.</w:t>
            </w:r>
          </w:p>
        </w:tc>
      </w:tr>
      <w:tr w:rsidR="00C75A27" w:rsidRPr="001D477C" w14:paraId="3C28911E" w14:textId="77777777">
        <w:trPr>
          <w:cantSplit/>
          <w:jc w:val="center"/>
        </w:trPr>
        <w:tc>
          <w:tcPr>
            <w:tcW w:w="2608" w:type="dxa"/>
            <w:tcBorders>
              <w:bottom w:val="single" w:sz="4" w:space="0" w:color="D9D9D9"/>
            </w:tcBorders>
          </w:tcPr>
          <w:p w14:paraId="7923A0E3" w14:textId="77777777" w:rsidR="00C75A27" w:rsidRPr="00B4606A" w:rsidRDefault="00D4093E">
            <w:pPr>
              <w:spacing w:before="40" w:after="40"/>
              <w:jc w:val="left"/>
              <w:rPr>
                <w:lang w:val="pt-BR"/>
              </w:rPr>
            </w:pPr>
            <w:r w:rsidRPr="00B4606A">
              <w:rPr>
                <w:b/>
                <w:sz w:val="17"/>
                <w:lang w:val="pt-BR"/>
              </w:rPr>
              <w:t>Líquidos de gas natural (LGN)</w:t>
            </w:r>
          </w:p>
        </w:tc>
        <w:tc>
          <w:tcPr>
            <w:tcW w:w="5896" w:type="dxa"/>
            <w:tcBorders>
              <w:bottom w:val="single" w:sz="4" w:space="0" w:color="D9D9D9"/>
            </w:tcBorders>
          </w:tcPr>
          <w:p w14:paraId="66E00B90" w14:textId="77777777" w:rsidR="00C75A27" w:rsidRPr="003E0D14" w:rsidRDefault="00D4093E">
            <w:pPr>
              <w:spacing w:before="40" w:after="40"/>
              <w:jc w:val="left"/>
              <w:rPr>
                <w:lang w:val="es-PE"/>
              </w:rPr>
            </w:pPr>
            <w:r w:rsidRPr="003E0D14">
              <w:rPr>
                <w:sz w:val="17"/>
                <w:lang w:val="es-PE"/>
              </w:rPr>
              <w:t>Hidrocarburos que se separan del gas natural en el procesamiento, como etano, propano y butano.</w:t>
            </w:r>
          </w:p>
        </w:tc>
      </w:tr>
      <w:tr w:rsidR="00C75A27" w:rsidRPr="001D477C" w14:paraId="4CF5BB35" w14:textId="77777777">
        <w:trPr>
          <w:cantSplit/>
          <w:jc w:val="center"/>
        </w:trPr>
        <w:tc>
          <w:tcPr>
            <w:tcW w:w="2608" w:type="dxa"/>
            <w:tcBorders>
              <w:bottom w:val="single" w:sz="4" w:space="0" w:color="D9D9D9"/>
            </w:tcBorders>
          </w:tcPr>
          <w:p w14:paraId="6FCE7878" w14:textId="77777777" w:rsidR="00C75A27" w:rsidRDefault="00D4093E">
            <w:pPr>
              <w:spacing w:before="40" w:after="40"/>
              <w:jc w:val="left"/>
            </w:pPr>
            <w:r>
              <w:rPr>
                <w:b/>
                <w:sz w:val="17"/>
              </w:rPr>
              <w:t>LOH</w:t>
            </w:r>
          </w:p>
        </w:tc>
        <w:tc>
          <w:tcPr>
            <w:tcW w:w="5896" w:type="dxa"/>
            <w:tcBorders>
              <w:bottom w:val="single" w:sz="4" w:space="0" w:color="D9D9D9"/>
            </w:tcBorders>
          </w:tcPr>
          <w:p w14:paraId="5EF08A47" w14:textId="77777777" w:rsidR="00C75A27" w:rsidRPr="003E0D14" w:rsidRDefault="00D4093E">
            <w:pPr>
              <w:spacing w:before="40" w:after="40"/>
              <w:jc w:val="left"/>
              <w:rPr>
                <w:lang w:val="es-PE"/>
              </w:rPr>
            </w:pPr>
            <w:r w:rsidRPr="003E0D14">
              <w:rPr>
                <w:sz w:val="17"/>
                <w:lang w:val="es-PE"/>
              </w:rPr>
              <w:t>Ley Orgánica de Hidrocarburos (Ley 26221, de 1993). Norma que regula las actividades de hidrocarburos en el Perú.</w:t>
            </w:r>
          </w:p>
        </w:tc>
      </w:tr>
      <w:tr w:rsidR="00C75A27" w:rsidRPr="001D477C" w14:paraId="127936C5" w14:textId="77777777">
        <w:trPr>
          <w:cantSplit/>
          <w:jc w:val="center"/>
        </w:trPr>
        <w:tc>
          <w:tcPr>
            <w:tcW w:w="2608" w:type="dxa"/>
            <w:tcBorders>
              <w:bottom w:val="single" w:sz="4" w:space="0" w:color="D9D9D9"/>
            </w:tcBorders>
          </w:tcPr>
          <w:p w14:paraId="7B5404C3" w14:textId="77777777" w:rsidR="00C75A27" w:rsidRDefault="00D4093E">
            <w:pPr>
              <w:spacing w:before="40" w:after="40"/>
              <w:jc w:val="left"/>
            </w:pPr>
            <w:r w:rsidRPr="004F3DB7">
              <w:rPr>
                <w:b/>
                <w:i/>
                <w:iCs/>
                <w:sz w:val="17"/>
              </w:rPr>
              <w:t>Loop</w:t>
            </w:r>
          </w:p>
        </w:tc>
        <w:tc>
          <w:tcPr>
            <w:tcW w:w="5896" w:type="dxa"/>
            <w:tcBorders>
              <w:bottom w:val="single" w:sz="4" w:space="0" w:color="D9D9D9"/>
            </w:tcBorders>
          </w:tcPr>
          <w:p w14:paraId="61479703" w14:textId="77777777" w:rsidR="00C75A27" w:rsidRPr="003E0D14" w:rsidRDefault="00D4093E">
            <w:pPr>
              <w:spacing w:before="40" w:after="40"/>
              <w:jc w:val="left"/>
              <w:rPr>
                <w:lang w:val="es-PE"/>
              </w:rPr>
            </w:pPr>
            <w:r w:rsidRPr="003E0D14">
              <w:rPr>
                <w:sz w:val="17"/>
                <w:lang w:val="es-PE"/>
              </w:rPr>
              <w:t>Ducto paralelo a un sistema troncal de transporte.</w:t>
            </w:r>
          </w:p>
        </w:tc>
      </w:tr>
      <w:tr w:rsidR="00C75A27" w:rsidRPr="001D477C" w14:paraId="23E93462" w14:textId="77777777">
        <w:trPr>
          <w:cantSplit/>
          <w:jc w:val="center"/>
        </w:trPr>
        <w:tc>
          <w:tcPr>
            <w:tcW w:w="2608" w:type="dxa"/>
            <w:tcBorders>
              <w:bottom w:val="single" w:sz="4" w:space="0" w:color="D9D9D9"/>
            </w:tcBorders>
          </w:tcPr>
          <w:p w14:paraId="0A1BABEF" w14:textId="77777777" w:rsidR="00C75A27" w:rsidRDefault="00D4093E">
            <w:pPr>
              <w:spacing w:before="40" w:after="40"/>
              <w:jc w:val="left"/>
            </w:pPr>
            <w:r>
              <w:rPr>
                <w:b/>
                <w:sz w:val="17"/>
              </w:rPr>
              <w:t>MEF</w:t>
            </w:r>
          </w:p>
        </w:tc>
        <w:tc>
          <w:tcPr>
            <w:tcW w:w="5896" w:type="dxa"/>
            <w:tcBorders>
              <w:bottom w:val="single" w:sz="4" w:space="0" w:color="D9D9D9"/>
            </w:tcBorders>
          </w:tcPr>
          <w:p w14:paraId="629FB4D5" w14:textId="77777777" w:rsidR="00C75A27" w:rsidRPr="003E0D14" w:rsidRDefault="00D4093E">
            <w:pPr>
              <w:spacing w:before="40" w:after="40"/>
              <w:jc w:val="left"/>
              <w:rPr>
                <w:lang w:val="es-PE"/>
              </w:rPr>
            </w:pPr>
            <w:r w:rsidRPr="003E0D14">
              <w:rPr>
                <w:sz w:val="17"/>
                <w:lang w:val="es-PE"/>
              </w:rPr>
              <w:t>Ministerio de Economía y Finanzas.</w:t>
            </w:r>
          </w:p>
        </w:tc>
      </w:tr>
      <w:tr w:rsidR="00C75A27" w:rsidRPr="001D477C" w14:paraId="368177E8" w14:textId="77777777">
        <w:trPr>
          <w:cantSplit/>
          <w:jc w:val="center"/>
        </w:trPr>
        <w:tc>
          <w:tcPr>
            <w:tcW w:w="2608" w:type="dxa"/>
            <w:tcBorders>
              <w:bottom w:val="single" w:sz="4" w:space="0" w:color="D9D9D9"/>
            </w:tcBorders>
          </w:tcPr>
          <w:p w14:paraId="448B67BF" w14:textId="77777777" w:rsidR="00C75A27" w:rsidRDefault="00D4093E">
            <w:pPr>
              <w:spacing w:before="40" w:after="40"/>
              <w:jc w:val="left"/>
            </w:pPr>
            <w:r>
              <w:rPr>
                <w:b/>
                <w:sz w:val="17"/>
              </w:rPr>
              <w:t>Minem</w:t>
            </w:r>
          </w:p>
        </w:tc>
        <w:tc>
          <w:tcPr>
            <w:tcW w:w="5896" w:type="dxa"/>
            <w:tcBorders>
              <w:bottom w:val="single" w:sz="4" w:space="0" w:color="D9D9D9"/>
            </w:tcBorders>
          </w:tcPr>
          <w:p w14:paraId="3317E38D" w14:textId="77777777" w:rsidR="00C75A27" w:rsidRPr="003E0D14" w:rsidRDefault="00D4093E">
            <w:pPr>
              <w:spacing w:before="40" w:after="40"/>
              <w:jc w:val="left"/>
              <w:rPr>
                <w:lang w:val="es-PE"/>
              </w:rPr>
            </w:pPr>
            <w:r w:rsidRPr="003E0D14">
              <w:rPr>
                <w:sz w:val="17"/>
                <w:lang w:val="es-PE"/>
              </w:rPr>
              <w:t>Ministerio de Energía y Minas.</w:t>
            </w:r>
          </w:p>
        </w:tc>
      </w:tr>
      <w:tr w:rsidR="00C75A27" w:rsidRPr="001D477C" w14:paraId="02CECCF2" w14:textId="77777777">
        <w:trPr>
          <w:cantSplit/>
          <w:jc w:val="center"/>
        </w:trPr>
        <w:tc>
          <w:tcPr>
            <w:tcW w:w="2608" w:type="dxa"/>
            <w:tcBorders>
              <w:bottom w:val="single" w:sz="4" w:space="0" w:color="D9D9D9"/>
            </w:tcBorders>
          </w:tcPr>
          <w:p w14:paraId="59753D10" w14:textId="77777777" w:rsidR="00C75A27" w:rsidRDefault="00D4093E">
            <w:pPr>
              <w:spacing w:before="40" w:after="40"/>
              <w:jc w:val="left"/>
            </w:pPr>
            <w:r>
              <w:rPr>
                <w:b/>
                <w:sz w:val="17"/>
              </w:rPr>
              <w:t>MMBTU</w:t>
            </w:r>
          </w:p>
        </w:tc>
        <w:tc>
          <w:tcPr>
            <w:tcW w:w="5896" w:type="dxa"/>
            <w:tcBorders>
              <w:bottom w:val="single" w:sz="4" w:space="0" w:color="D9D9D9"/>
            </w:tcBorders>
          </w:tcPr>
          <w:p w14:paraId="01B473E5" w14:textId="77777777" w:rsidR="00C75A27" w:rsidRPr="003E0D14" w:rsidRDefault="00D4093E">
            <w:pPr>
              <w:spacing w:before="40" w:after="40"/>
              <w:jc w:val="left"/>
              <w:rPr>
                <w:lang w:val="es-PE"/>
              </w:rPr>
            </w:pPr>
            <w:r w:rsidRPr="003E0D14">
              <w:rPr>
                <w:sz w:val="17"/>
                <w:lang w:val="es-PE"/>
              </w:rPr>
              <w:t>Millón de unidades térmicas británicas (British Thermal Units). Unidad de contenido energético con la que se fijan las tarifas de gas natural.</w:t>
            </w:r>
          </w:p>
        </w:tc>
      </w:tr>
      <w:tr w:rsidR="00C75A27" w14:paraId="10C96BAE" w14:textId="77777777">
        <w:trPr>
          <w:cantSplit/>
          <w:jc w:val="center"/>
        </w:trPr>
        <w:tc>
          <w:tcPr>
            <w:tcW w:w="2608" w:type="dxa"/>
            <w:tcBorders>
              <w:bottom w:val="single" w:sz="4" w:space="0" w:color="D9D9D9"/>
            </w:tcBorders>
          </w:tcPr>
          <w:p w14:paraId="52990E99" w14:textId="77777777" w:rsidR="00C75A27" w:rsidRDefault="00D4093E">
            <w:pPr>
              <w:spacing w:before="40" w:after="40"/>
              <w:jc w:val="left"/>
            </w:pPr>
            <w:r>
              <w:rPr>
                <w:b/>
                <w:sz w:val="17"/>
              </w:rPr>
              <w:t>MMpc</w:t>
            </w:r>
          </w:p>
        </w:tc>
        <w:tc>
          <w:tcPr>
            <w:tcW w:w="5896" w:type="dxa"/>
            <w:tcBorders>
              <w:bottom w:val="single" w:sz="4" w:space="0" w:color="D9D9D9"/>
            </w:tcBorders>
          </w:tcPr>
          <w:p w14:paraId="54D1D446" w14:textId="77777777" w:rsidR="00C75A27" w:rsidRDefault="00D4093E">
            <w:pPr>
              <w:spacing w:before="40" w:after="40"/>
              <w:jc w:val="left"/>
            </w:pPr>
            <w:r>
              <w:rPr>
                <w:sz w:val="17"/>
              </w:rPr>
              <w:t>Millones de pies cúbicos.</w:t>
            </w:r>
          </w:p>
        </w:tc>
      </w:tr>
      <w:tr w:rsidR="00C75A27" w:rsidRPr="001D477C" w14:paraId="4191885B" w14:textId="77777777">
        <w:trPr>
          <w:cantSplit/>
          <w:jc w:val="center"/>
        </w:trPr>
        <w:tc>
          <w:tcPr>
            <w:tcW w:w="2608" w:type="dxa"/>
            <w:tcBorders>
              <w:bottom w:val="single" w:sz="4" w:space="0" w:color="D9D9D9"/>
            </w:tcBorders>
          </w:tcPr>
          <w:p w14:paraId="1A34BB6B" w14:textId="77777777" w:rsidR="00C75A27" w:rsidRDefault="00D4093E">
            <w:pPr>
              <w:spacing w:before="40" w:after="40"/>
              <w:jc w:val="left"/>
            </w:pPr>
            <w:r>
              <w:rPr>
                <w:b/>
                <w:sz w:val="17"/>
              </w:rPr>
              <w:t>MMpcd</w:t>
            </w:r>
          </w:p>
        </w:tc>
        <w:tc>
          <w:tcPr>
            <w:tcW w:w="5896" w:type="dxa"/>
            <w:tcBorders>
              <w:bottom w:val="single" w:sz="4" w:space="0" w:color="D9D9D9"/>
            </w:tcBorders>
          </w:tcPr>
          <w:p w14:paraId="7406BD1A" w14:textId="77777777" w:rsidR="00C75A27" w:rsidRPr="003E0D14" w:rsidRDefault="00D4093E">
            <w:pPr>
              <w:spacing w:before="40" w:after="40"/>
              <w:jc w:val="left"/>
              <w:rPr>
                <w:lang w:val="es-PE"/>
              </w:rPr>
            </w:pPr>
            <w:r w:rsidRPr="003E0D14">
              <w:rPr>
                <w:sz w:val="17"/>
                <w:lang w:val="es-PE"/>
              </w:rPr>
              <w:t>Millones de pies cúbicos diarios. Unidad habitual de producción, transporte y consumo de gas natural.</w:t>
            </w:r>
          </w:p>
        </w:tc>
      </w:tr>
      <w:tr w:rsidR="00C75A27" w:rsidRPr="001D477C" w14:paraId="0984CDB4" w14:textId="77777777">
        <w:trPr>
          <w:cantSplit/>
          <w:jc w:val="center"/>
        </w:trPr>
        <w:tc>
          <w:tcPr>
            <w:tcW w:w="2608" w:type="dxa"/>
            <w:tcBorders>
              <w:bottom w:val="single" w:sz="4" w:space="0" w:color="D9D9D9"/>
            </w:tcBorders>
          </w:tcPr>
          <w:p w14:paraId="0728D2EB" w14:textId="77777777" w:rsidR="00C75A27" w:rsidRDefault="00D4093E">
            <w:pPr>
              <w:spacing w:before="40" w:after="40"/>
              <w:jc w:val="left"/>
            </w:pPr>
            <w:r>
              <w:rPr>
                <w:b/>
                <w:sz w:val="17"/>
              </w:rPr>
              <w:lastRenderedPageBreak/>
              <w:t>MMtep</w:t>
            </w:r>
          </w:p>
        </w:tc>
        <w:tc>
          <w:tcPr>
            <w:tcW w:w="5896" w:type="dxa"/>
            <w:tcBorders>
              <w:bottom w:val="single" w:sz="4" w:space="0" w:color="D9D9D9"/>
            </w:tcBorders>
          </w:tcPr>
          <w:p w14:paraId="44303C44" w14:textId="77777777" w:rsidR="00C75A27" w:rsidRPr="003E0D14" w:rsidRDefault="00D4093E">
            <w:pPr>
              <w:spacing w:before="40" w:after="40"/>
              <w:jc w:val="left"/>
              <w:rPr>
                <w:lang w:val="es-PE"/>
              </w:rPr>
            </w:pPr>
            <w:r w:rsidRPr="003E0D14">
              <w:rPr>
                <w:sz w:val="17"/>
                <w:lang w:val="es-PE"/>
              </w:rPr>
              <w:t>Millones de toneladas de petróleo equivalente. Unidad que permite sumar en una sola medida el consumo de fuentes energéticas distintas.</w:t>
            </w:r>
          </w:p>
        </w:tc>
      </w:tr>
      <w:tr w:rsidR="00C75A27" w:rsidRPr="001D477C" w14:paraId="20C60C64" w14:textId="77777777">
        <w:trPr>
          <w:cantSplit/>
          <w:jc w:val="center"/>
        </w:trPr>
        <w:tc>
          <w:tcPr>
            <w:tcW w:w="2608" w:type="dxa"/>
            <w:tcBorders>
              <w:bottom w:val="single" w:sz="4" w:space="0" w:color="D9D9D9"/>
            </w:tcBorders>
          </w:tcPr>
          <w:p w14:paraId="46D4336E" w14:textId="77777777" w:rsidR="00C75A27" w:rsidRDefault="00D4093E">
            <w:pPr>
              <w:spacing w:before="40" w:after="40"/>
              <w:jc w:val="left"/>
            </w:pPr>
            <w:r>
              <w:rPr>
                <w:b/>
                <w:sz w:val="17"/>
              </w:rPr>
              <w:t>MW / MWh</w:t>
            </w:r>
          </w:p>
        </w:tc>
        <w:tc>
          <w:tcPr>
            <w:tcW w:w="5896" w:type="dxa"/>
            <w:tcBorders>
              <w:bottom w:val="single" w:sz="4" w:space="0" w:color="D9D9D9"/>
            </w:tcBorders>
          </w:tcPr>
          <w:p w14:paraId="55C5CFE9" w14:textId="77777777" w:rsidR="00C75A27" w:rsidRPr="003E0D14" w:rsidRDefault="00D4093E">
            <w:pPr>
              <w:spacing w:before="40" w:after="40"/>
              <w:jc w:val="left"/>
              <w:rPr>
                <w:lang w:val="es-PE"/>
              </w:rPr>
            </w:pPr>
            <w:r w:rsidRPr="003E0D14">
              <w:rPr>
                <w:sz w:val="17"/>
                <w:lang w:val="es-PE"/>
              </w:rPr>
              <w:t>Megavatio y megavatio hora: unidades de potencia y de energía eléctrica.</w:t>
            </w:r>
          </w:p>
        </w:tc>
      </w:tr>
      <w:tr w:rsidR="00C75A27" w:rsidRPr="004F3DB7" w14:paraId="4C4165BA" w14:textId="77777777">
        <w:trPr>
          <w:cantSplit/>
          <w:jc w:val="center"/>
        </w:trPr>
        <w:tc>
          <w:tcPr>
            <w:tcW w:w="2608" w:type="dxa"/>
            <w:tcBorders>
              <w:bottom w:val="single" w:sz="4" w:space="0" w:color="D9D9D9"/>
            </w:tcBorders>
          </w:tcPr>
          <w:p w14:paraId="1FE1D766" w14:textId="77777777" w:rsidR="00C75A27" w:rsidRDefault="00D4093E">
            <w:pPr>
              <w:spacing w:before="40" w:after="40"/>
              <w:jc w:val="left"/>
            </w:pPr>
            <w:r>
              <w:rPr>
                <w:b/>
                <w:sz w:val="17"/>
              </w:rPr>
              <w:t>NOAA</w:t>
            </w:r>
          </w:p>
        </w:tc>
        <w:tc>
          <w:tcPr>
            <w:tcW w:w="5896" w:type="dxa"/>
            <w:tcBorders>
              <w:bottom w:val="single" w:sz="4" w:space="0" w:color="D9D9D9"/>
            </w:tcBorders>
          </w:tcPr>
          <w:p w14:paraId="36112EE9" w14:textId="77777777" w:rsidR="00C75A27" w:rsidRPr="003E0D14" w:rsidRDefault="00D4093E">
            <w:pPr>
              <w:spacing w:before="40" w:after="40"/>
              <w:jc w:val="left"/>
              <w:rPr>
                <w:lang w:val="es-PE"/>
              </w:rPr>
            </w:pPr>
            <w:r w:rsidRPr="003E0D14">
              <w:rPr>
                <w:sz w:val="17"/>
                <w:lang w:val="es-PE"/>
              </w:rPr>
              <w:t>Administración Nacional Oceánica y Atmosférica de los Estados Unidos (National Oceanic and Atmospheric Administration). Emite el pronóstico oficial de El Niño global.</w:t>
            </w:r>
          </w:p>
        </w:tc>
      </w:tr>
      <w:tr w:rsidR="00C75A27" w:rsidRPr="001D477C" w14:paraId="06C35999" w14:textId="77777777">
        <w:trPr>
          <w:cantSplit/>
          <w:jc w:val="center"/>
        </w:trPr>
        <w:tc>
          <w:tcPr>
            <w:tcW w:w="2608" w:type="dxa"/>
            <w:tcBorders>
              <w:bottom w:val="single" w:sz="4" w:space="0" w:color="D9D9D9"/>
            </w:tcBorders>
          </w:tcPr>
          <w:p w14:paraId="68D61DA2" w14:textId="77777777" w:rsidR="00C75A27" w:rsidRDefault="00D4093E">
            <w:pPr>
              <w:spacing w:before="40" w:after="40"/>
              <w:jc w:val="left"/>
            </w:pPr>
            <w:r w:rsidRPr="004F3DB7">
              <w:rPr>
                <w:b/>
                <w:i/>
                <w:iCs/>
                <w:sz w:val="17"/>
              </w:rPr>
              <w:t>Offshore</w:t>
            </w:r>
          </w:p>
        </w:tc>
        <w:tc>
          <w:tcPr>
            <w:tcW w:w="5896" w:type="dxa"/>
            <w:tcBorders>
              <w:bottom w:val="single" w:sz="4" w:space="0" w:color="D9D9D9"/>
            </w:tcBorders>
          </w:tcPr>
          <w:p w14:paraId="793BD0BA" w14:textId="77777777" w:rsidR="00C75A27" w:rsidRPr="003E0D14" w:rsidRDefault="00D4093E">
            <w:pPr>
              <w:spacing w:before="40" w:after="40"/>
              <w:jc w:val="left"/>
              <w:rPr>
                <w:lang w:val="es-PE"/>
              </w:rPr>
            </w:pPr>
            <w:r w:rsidRPr="003E0D14">
              <w:rPr>
                <w:sz w:val="17"/>
                <w:lang w:val="es-PE"/>
              </w:rPr>
              <w:t>Fuera o más allá de la costa marítima.</w:t>
            </w:r>
          </w:p>
        </w:tc>
      </w:tr>
      <w:tr w:rsidR="00C75A27" w:rsidRPr="001D477C" w14:paraId="2D8CC857" w14:textId="77777777">
        <w:trPr>
          <w:cantSplit/>
          <w:jc w:val="center"/>
        </w:trPr>
        <w:tc>
          <w:tcPr>
            <w:tcW w:w="2608" w:type="dxa"/>
            <w:tcBorders>
              <w:bottom w:val="single" w:sz="4" w:space="0" w:color="D9D9D9"/>
            </w:tcBorders>
          </w:tcPr>
          <w:p w14:paraId="0F50F6F6" w14:textId="77777777" w:rsidR="00C75A27" w:rsidRDefault="00D4093E">
            <w:pPr>
              <w:spacing w:before="40" w:after="40"/>
              <w:jc w:val="left"/>
            </w:pPr>
            <w:r w:rsidRPr="004F3DB7">
              <w:rPr>
                <w:b/>
                <w:i/>
                <w:iCs/>
                <w:sz w:val="17"/>
              </w:rPr>
              <w:t>Onshore</w:t>
            </w:r>
          </w:p>
        </w:tc>
        <w:tc>
          <w:tcPr>
            <w:tcW w:w="5896" w:type="dxa"/>
            <w:tcBorders>
              <w:bottom w:val="single" w:sz="4" w:space="0" w:color="D9D9D9"/>
            </w:tcBorders>
          </w:tcPr>
          <w:p w14:paraId="301EED92" w14:textId="77777777" w:rsidR="00C75A27" w:rsidRPr="003E0D14" w:rsidRDefault="00D4093E">
            <w:pPr>
              <w:spacing w:before="40" w:after="40"/>
              <w:jc w:val="left"/>
              <w:rPr>
                <w:lang w:val="es-PE"/>
              </w:rPr>
            </w:pPr>
            <w:r w:rsidRPr="003E0D14">
              <w:rPr>
                <w:sz w:val="17"/>
                <w:lang w:val="es-PE"/>
              </w:rPr>
              <w:t>Situado u ocurrido en tierra.</w:t>
            </w:r>
          </w:p>
        </w:tc>
      </w:tr>
      <w:tr w:rsidR="00C75A27" w:rsidRPr="001D477C" w14:paraId="2DC6B7DB" w14:textId="77777777">
        <w:trPr>
          <w:cantSplit/>
          <w:jc w:val="center"/>
        </w:trPr>
        <w:tc>
          <w:tcPr>
            <w:tcW w:w="2608" w:type="dxa"/>
            <w:tcBorders>
              <w:bottom w:val="single" w:sz="4" w:space="0" w:color="D9D9D9"/>
            </w:tcBorders>
          </w:tcPr>
          <w:p w14:paraId="03E87C8C" w14:textId="77777777" w:rsidR="00C75A27" w:rsidRDefault="00D4093E">
            <w:pPr>
              <w:spacing w:before="40" w:after="40"/>
              <w:jc w:val="left"/>
            </w:pPr>
            <w:r>
              <w:rPr>
                <w:b/>
                <w:sz w:val="17"/>
              </w:rPr>
              <w:t>OPEP+</w:t>
            </w:r>
          </w:p>
        </w:tc>
        <w:tc>
          <w:tcPr>
            <w:tcW w:w="5896" w:type="dxa"/>
            <w:tcBorders>
              <w:bottom w:val="single" w:sz="4" w:space="0" w:color="D9D9D9"/>
            </w:tcBorders>
          </w:tcPr>
          <w:p w14:paraId="08FEB086" w14:textId="77777777" w:rsidR="00C75A27" w:rsidRPr="003E0D14" w:rsidRDefault="00D4093E">
            <w:pPr>
              <w:spacing w:before="40" w:after="40"/>
              <w:jc w:val="left"/>
              <w:rPr>
                <w:lang w:val="es-PE"/>
              </w:rPr>
            </w:pPr>
            <w:r w:rsidRPr="003E0D14">
              <w:rPr>
                <w:sz w:val="17"/>
                <w:lang w:val="es-PE"/>
              </w:rPr>
              <w:t>Organización de Países Exportadores de Petróleo y sus aliados, entre ellos Rusia.</w:t>
            </w:r>
          </w:p>
        </w:tc>
      </w:tr>
      <w:tr w:rsidR="00C75A27" w:rsidRPr="001D477C" w14:paraId="71FFE7C4" w14:textId="77777777">
        <w:trPr>
          <w:cantSplit/>
          <w:jc w:val="center"/>
        </w:trPr>
        <w:tc>
          <w:tcPr>
            <w:tcW w:w="2608" w:type="dxa"/>
            <w:tcBorders>
              <w:bottom w:val="single" w:sz="4" w:space="0" w:color="D9D9D9"/>
            </w:tcBorders>
          </w:tcPr>
          <w:p w14:paraId="0CEE8454" w14:textId="77777777" w:rsidR="00C75A27" w:rsidRDefault="00D4093E">
            <w:pPr>
              <w:spacing w:before="40" w:after="40"/>
              <w:jc w:val="left"/>
            </w:pPr>
            <w:r>
              <w:rPr>
                <w:b/>
                <w:sz w:val="17"/>
              </w:rPr>
              <w:t>Osinergmin</w:t>
            </w:r>
          </w:p>
        </w:tc>
        <w:tc>
          <w:tcPr>
            <w:tcW w:w="5896" w:type="dxa"/>
            <w:tcBorders>
              <w:bottom w:val="single" w:sz="4" w:space="0" w:color="D9D9D9"/>
            </w:tcBorders>
          </w:tcPr>
          <w:p w14:paraId="3557525F" w14:textId="77777777" w:rsidR="00C75A27" w:rsidRPr="003E0D14" w:rsidRDefault="00D4093E">
            <w:pPr>
              <w:spacing w:before="40" w:after="40"/>
              <w:jc w:val="left"/>
              <w:rPr>
                <w:lang w:val="es-PE"/>
              </w:rPr>
            </w:pPr>
            <w:r w:rsidRPr="003E0D14">
              <w:rPr>
                <w:sz w:val="17"/>
                <w:lang w:val="es-PE"/>
              </w:rPr>
              <w:t>Organismo Supervisor de la Inversión en Energía y Minería. Regula y fija las tarifas de distribución de gas natural.</w:t>
            </w:r>
          </w:p>
        </w:tc>
      </w:tr>
      <w:tr w:rsidR="00C75A27" w:rsidRPr="004F3DB7" w14:paraId="16B4D393" w14:textId="77777777">
        <w:trPr>
          <w:cantSplit/>
          <w:jc w:val="center"/>
        </w:trPr>
        <w:tc>
          <w:tcPr>
            <w:tcW w:w="2608" w:type="dxa"/>
            <w:tcBorders>
              <w:bottom w:val="single" w:sz="4" w:space="0" w:color="D9D9D9"/>
            </w:tcBorders>
          </w:tcPr>
          <w:p w14:paraId="3B8828B9" w14:textId="77777777" w:rsidR="00C75A27" w:rsidRDefault="00D4093E">
            <w:pPr>
              <w:spacing w:before="40" w:after="40"/>
              <w:jc w:val="left"/>
            </w:pPr>
            <w:r>
              <w:rPr>
                <w:b/>
                <w:sz w:val="17"/>
              </w:rPr>
              <w:t>PBI</w:t>
            </w:r>
          </w:p>
        </w:tc>
        <w:tc>
          <w:tcPr>
            <w:tcW w:w="5896" w:type="dxa"/>
            <w:tcBorders>
              <w:bottom w:val="single" w:sz="4" w:space="0" w:color="D9D9D9"/>
            </w:tcBorders>
          </w:tcPr>
          <w:p w14:paraId="718F04B7" w14:textId="77777777" w:rsidR="00C75A27" w:rsidRPr="003E0D14" w:rsidRDefault="00D4093E">
            <w:pPr>
              <w:spacing w:before="40" w:after="40"/>
              <w:jc w:val="left"/>
              <w:rPr>
                <w:lang w:val="es-PE"/>
              </w:rPr>
            </w:pPr>
            <w:r w:rsidRPr="003E0D14">
              <w:rPr>
                <w:sz w:val="17"/>
                <w:lang w:val="es-PE"/>
              </w:rPr>
              <w:t>Producto bruto interno.</w:t>
            </w:r>
          </w:p>
        </w:tc>
      </w:tr>
      <w:tr w:rsidR="00C75A27" w:rsidRPr="001D477C" w14:paraId="3A508389" w14:textId="77777777">
        <w:trPr>
          <w:cantSplit/>
          <w:jc w:val="center"/>
        </w:trPr>
        <w:tc>
          <w:tcPr>
            <w:tcW w:w="2608" w:type="dxa"/>
            <w:tcBorders>
              <w:bottom w:val="single" w:sz="4" w:space="0" w:color="D9D9D9"/>
            </w:tcBorders>
          </w:tcPr>
          <w:p w14:paraId="322561E1" w14:textId="77777777" w:rsidR="00C75A27" w:rsidRDefault="00D4093E">
            <w:pPr>
              <w:spacing w:before="40" w:after="40"/>
              <w:jc w:val="left"/>
            </w:pPr>
            <w:r>
              <w:rPr>
                <w:b/>
                <w:sz w:val="17"/>
              </w:rPr>
              <w:t>PCM</w:t>
            </w:r>
          </w:p>
        </w:tc>
        <w:tc>
          <w:tcPr>
            <w:tcW w:w="5896" w:type="dxa"/>
            <w:tcBorders>
              <w:bottom w:val="single" w:sz="4" w:space="0" w:color="D9D9D9"/>
            </w:tcBorders>
          </w:tcPr>
          <w:p w14:paraId="5F28C669" w14:textId="77777777" w:rsidR="00C75A27" w:rsidRPr="003E0D14" w:rsidRDefault="00D4093E">
            <w:pPr>
              <w:spacing w:before="40" w:after="40"/>
              <w:jc w:val="left"/>
              <w:rPr>
                <w:lang w:val="es-PE"/>
              </w:rPr>
            </w:pPr>
            <w:r w:rsidRPr="003E0D14">
              <w:rPr>
                <w:sz w:val="17"/>
                <w:lang w:val="es-PE"/>
              </w:rPr>
              <w:t>Presidencia del Consejo de Ministros.</w:t>
            </w:r>
          </w:p>
        </w:tc>
      </w:tr>
      <w:tr w:rsidR="00C75A27" w:rsidRPr="001D477C" w14:paraId="6026D14D" w14:textId="77777777">
        <w:trPr>
          <w:cantSplit/>
          <w:jc w:val="center"/>
        </w:trPr>
        <w:tc>
          <w:tcPr>
            <w:tcW w:w="2608" w:type="dxa"/>
            <w:tcBorders>
              <w:bottom w:val="single" w:sz="4" w:space="0" w:color="D9D9D9"/>
            </w:tcBorders>
          </w:tcPr>
          <w:p w14:paraId="016B4191" w14:textId="77777777" w:rsidR="00C75A27" w:rsidRDefault="00D4093E">
            <w:pPr>
              <w:spacing w:before="40" w:after="40"/>
              <w:jc w:val="left"/>
            </w:pPr>
            <w:r>
              <w:rPr>
                <w:b/>
                <w:sz w:val="17"/>
              </w:rPr>
              <w:t>Perupetro</w:t>
            </w:r>
          </w:p>
        </w:tc>
        <w:tc>
          <w:tcPr>
            <w:tcW w:w="5896" w:type="dxa"/>
            <w:tcBorders>
              <w:bottom w:val="single" w:sz="4" w:space="0" w:color="D9D9D9"/>
            </w:tcBorders>
          </w:tcPr>
          <w:p w14:paraId="0ABF18CB" w14:textId="77777777" w:rsidR="00C75A27" w:rsidRPr="003E0D14" w:rsidRDefault="00D4093E">
            <w:pPr>
              <w:spacing w:before="40" w:after="40"/>
              <w:jc w:val="left"/>
              <w:rPr>
                <w:lang w:val="es-PE"/>
              </w:rPr>
            </w:pPr>
            <w:r w:rsidRPr="003E0D14">
              <w:rPr>
                <w:sz w:val="17"/>
                <w:lang w:val="es-PE"/>
              </w:rPr>
              <w:t>Empresa estatal encargada de promover, negociar y supervisar los contratos de exploración y explotación de hidrocarburos.</w:t>
            </w:r>
          </w:p>
        </w:tc>
      </w:tr>
      <w:tr w:rsidR="00C75A27" w:rsidRPr="001D477C" w14:paraId="39BC25D9" w14:textId="77777777">
        <w:trPr>
          <w:cantSplit/>
          <w:jc w:val="center"/>
        </w:trPr>
        <w:tc>
          <w:tcPr>
            <w:tcW w:w="2608" w:type="dxa"/>
            <w:tcBorders>
              <w:bottom w:val="single" w:sz="4" w:space="0" w:color="D9D9D9"/>
            </w:tcBorders>
          </w:tcPr>
          <w:p w14:paraId="4C386D19" w14:textId="77777777" w:rsidR="00C75A27" w:rsidRDefault="00D4093E">
            <w:pPr>
              <w:spacing w:before="40" w:after="40"/>
              <w:jc w:val="left"/>
            </w:pPr>
            <w:r>
              <w:rPr>
                <w:b/>
                <w:sz w:val="17"/>
              </w:rPr>
              <w:t>Pie cúbico</w:t>
            </w:r>
          </w:p>
        </w:tc>
        <w:tc>
          <w:tcPr>
            <w:tcW w:w="5896" w:type="dxa"/>
            <w:tcBorders>
              <w:bottom w:val="single" w:sz="4" w:space="0" w:color="D9D9D9"/>
            </w:tcBorders>
          </w:tcPr>
          <w:p w14:paraId="2BBE2C74" w14:textId="77777777" w:rsidR="00C75A27" w:rsidRPr="003E0D14" w:rsidRDefault="00D4093E">
            <w:pPr>
              <w:spacing w:before="40" w:after="40"/>
              <w:jc w:val="left"/>
              <w:rPr>
                <w:lang w:val="es-PE"/>
              </w:rPr>
            </w:pPr>
            <w:r w:rsidRPr="003E0D14">
              <w:rPr>
                <w:sz w:val="17"/>
                <w:lang w:val="es-PE"/>
              </w:rPr>
              <w:t>Unidad de volumen del sistema inglés usada para medir el gas natural en estado gaseoso. Un pie cúbico equivale aproximadamente a mil BTU en condiciones estándar.</w:t>
            </w:r>
          </w:p>
        </w:tc>
      </w:tr>
      <w:tr w:rsidR="00C75A27" w:rsidRPr="001D477C" w14:paraId="2D20E5A0" w14:textId="77777777">
        <w:trPr>
          <w:cantSplit/>
          <w:jc w:val="center"/>
        </w:trPr>
        <w:tc>
          <w:tcPr>
            <w:tcW w:w="2608" w:type="dxa"/>
            <w:tcBorders>
              <w:bottom w:val="single" w:sz="4" w:space="0" w:color="D9D9D9"/>
            </w:tcBorders>
          </w:tcPr>
          <w:p w14:paraId="3E587F50" w14:textId="77777777" w:rsidR="00C75A27" w:rsidRDefault="00D4093E">
            <w:pPr>
              <w:spacing w:before="40" w:after="40"/>
              <w:jc w:val="left"/>
            </w:pPr>
            <w:r>
              <w:rPr>
                <w:b/>
                <w:sz w:val="17"/>
              </w:rPr>
              <w:t>Pozos A3</w:t>
            </w:r>
          </w:p>
        </w:tc>
        <w:tc>
          <w:tcPr>
            <w:tcW w:w="5896" w:type="dxa"/>
            <w:tcBorders>
              <w:bottom w:val="single" w:sz="4" w:space="0" w:color="D9D9D9"/>
            </w:tcBorders>
          </w:tcPr>
          <w:p w14:paraId="6418F94D" w14:textId="77777777" w:rsidR="00C75A27" w:rsidRPr="003E0D14" w:rsidRDefault="00D4093E">
            <w:pPr>
              <w:spacing w:before="40" w:after="40"/>
              <w:jc w:val="left"/>
              <w:rPr>
                <w:lang w:val="es-PE"/>
              </w:rPr>
            </w:pPr>
            <w:r w:rsidRPr="003E0D14">
              <w:rPr>
                <w:sz w:val="17"/>
                <w:lang w:val="es-PE"/>
              </w:rPr>
              <w:t>Primer pozo que se perfora en un área geológicamente inexplorada.</w:t>
            </w:r>
          </w:p>
        </w:tc>
      </w:tr>
      <w:tr w:rsidR="00C75A27" w:rsidRPr="001D477C" w14:paraId="4C539A6F" w14:textId="77777777">
        <w:trPr>
          <w:cantSplit/>
          <w:jc w:val="center"/>
        </w:trPr>
        <w:tc>
          <w:tcPr>
            <w:tcW w:w="2608" w:type="dxa"/>
            <w:tcBorders>
              <w:bottom w:val="single" w:sz="4" w:space="0" w:color="D9D9D9"/>
            </w:tcBorders>
          </w:tcPr>
          <w:p w14:paraId="0204C928" w14:textId="77777777" w:rsidR="00C75A27" w:rsidRDefault="00D4093E">
            <w:pPr>
              <w:spacing w:before="40" w:after="40"/>
              <w:jc w:val="left"/>
            </w:pPr>
            <w:r>
              <w:rPr>
                <w:b/>
                <w:sz w:val="17"/>
              </w:rPr>
              <w:t>p. p.</w:t>
            </w:r>
          </w:p>
        </w:tc>
        <w:tc>
          <w:tcPr>
            <w:tcW w:w="5896" w:type="dxa"/>
            <w:tcBorders>
              <w:bottom w:val="single" w:sz="4" w:space="0" w:color="D9D9D9"/>
            </w:tcBorders>
          </w:tcPr>
          <w:p w14:paraId="0CA5B669" w14:textId="77777777" w:rsidR="00C75A27" w:rsidRPr="003E0D14" w:rsidRDefault="00D4093E">
            <w:pPr>
              <w:spacing w:before="40" w:after="40"/>
              <w:jc w:val="left"/>
              <w:rPr>
                <w:lang w:val="es-PE"/>
              </w:rPr>
            </w:pPr>
            <w:r w:rsidRPr="003E0D14">
              <w:rPr>
                <w:sz w:val="17"/>
                <w:lang w:val="es-PE"/>
              </w:rPr>
              <w:t>Puntos porcentuales. Diferencia aritmética entre dos porcentajes.</w:t>
            </w:r>
          </w:p>
        </w:tc>
      </w:tr>
      <w:tr w:rsidR="00C75A27" w14:paraId="089D8A57" w14:textId="77777777">
        <w:trPr>
          <w:cantSplit/>
          <w:jc w:val="center"/>
        </w:trPr>
        <w:tc>
          <w:tcPr>
            <w:tcW w:w="2608" w:type="dxa"/>
            <w:tcBorders>
              <w:bottom w:val="single" w:sz="4" w:space="0" w:color="D9D9D9"/>
            </w:tcBorders>
          </w:tcPr>
          <w:p w14:paraId="6215FF1E" w14:textId="77777777" w:rsidR="00C75A27" w:rsidRDefault="00D4093E">
            <w:pPr>
              <w:spacing w:before="40" w:after="40"/>
              <w:jc w:val="left"/>
            </w:pPr>
            <w:r>
              <w:rPr>
                <w:b/>
                <w:sz w:val="17"/>
              </w:rPr>
              <w:t>Ratio de penetración</w:t>
            </w:r>
          </w:p>
        </w:tc>
        <w:tc>
          <w:tcPr>
            <w:tcW w:w="5896" w:type="dxa"/>
            <w:tcBorders>
              <w:bottom w:val="single" w:sz="4" w:space="0" w:color="D9D9D9"/>
            </w:tcBorders>
          </w:tcPr>
          <w:p w14:paraId="00E9137E" w14:textId="77777777" w:rsidR="00C75A27" w:rsidRDefault="00D4093E">
            <w:pPr>
              <w:spacing w:before="40" w:after="40"/>
              <w:jc w:val="left"/>
            </w:pPr>
            <w:r w:rsidRPr="003E0D14">
              <w:rPr>
                <w:sz w:val="17"/>
                <w:lang w:val="es-PE"/>
              </w:rPr>
              <w:t xml:space="preserve">Usuarios conectados sobre las viviendas anilladas, en porcentaje. </w:t>
            </w:r>
            <w:r>
              <w:rPr>
                <w:sz w:val="17"/>
              </w:rPr>
              <w:t>Mide cuánto se aprovecha la red ya tendida.</w:t>
            </w:r>
          </w:p>
        </w:tc>
      </w:tr>
      <w:tr w:rsidR="00C75A27" w:rsidRPr="001D477C" w14:paraId="60D6CB1E" w14:textId="77777777">
        <w:trPr>
          <w:cantSplit/>
          <w:jc w:val="center"/>
        </w:trPr>
        <w:tc>
          <w:tcPr>
            <w:tcW w:w="2608" w:type="dxa"/>
            <w:tcBorders>
              <w:bottom w:val="single" w:sz="4" w:space="0" w:color="D9D9D9"/>
            </w:tcBorders>
          </w:tcPr>
          <w:p w14:paraId="1ED0DC9D" w14:textId="77777777" w:rsidR="00C75A27" w:rsidRDefault="00D4093E">
            <w:pPr>
              <w:spacing w:before="40" w:after="40"/>
              <w:jc w:val="left"/>
            </w:pPr>
            <w:r>
              <w:rPr>
                <w:b/>
                <w:sz w:val="17"/>
              </w:rPr>
              <w:t>Ratio R/P</w:t>
            </w:r>
          </w:p>
        </w:tc>
        <w:tc>
          <w:tcPr>
            <w:tcW w:w="5896" w:type="dxa"/>
            <w:tcBorders>
              <w:bottom w:val="single" w:sz="4" w:space="0" w:color="D9D9D9"/>
            </w:tcBorders>
          </w:tcPr>
          <w:p w14:paraId="4DAC2A12" w14:textId="77777777" w:rsidR="00C75A27" w:rsidRPr="003E0D14" w:rsidRDefault="00D4093E">
            <w:pPr>
              <w:spacing w:before="40" w:after="40"/>
              <w:jc w:val="left"/>
              <w:rPr>
                <w:lang w:val="es-PE"/>
              </w:rPr>
            </w:pPr>
            <w:r w:rsidRPr="003E0D14">
              <w:rPr>
                <w:sz w:val="17"/>
                <w:lang w:val="es-PE"/>
              </w:rPr>
              <w:t>Reservas de gas natural a una fecha determinada divididas entre la producción de ese último año.</w:t>
            </w:r>
          </w:p>
        </w:tc>
      </w:tr>
      <w:tr w:rsidR="00C75A27" w:rsidRPr="001D477C" w14:paraId="2AF335BB" w14:textId="77777777">
        <w:trPr>
          <w:cantSplit/>
          <w:jc w:val="center"/>
        </w:trPr>
        <w:tc>
          <w:tcPr>
            <w:tcW w:w="2608" w:type="dxa"/>
            <w:tcBorders>
              <w:bottom w:val="single" w:sz="4" w:space="0" w:color="D9D9D9"/>
            </w:tcBorders>
          </w:tcPr>
          <w:p w14:paraId="2B3B2680" w14:textId="77777777" w:rsidR="00C75A27" w:rsidRDefault="00D4093E">
            <w:pPr>
              <w:spacing w:before="40" w:after="40"/>
              <w:jc w:val="left"/>
            </w:pPr>
            <w:r>
              <w:rPr>
                <w:b/>
                <w:sz w:val="17"/>
              </w:rPr>
              <w:t>Recursos contingentes</w:t>
            </w:r>
          </w:p>
        </w:tc>
        <w:tc>
          <w:tcPr>
            <w:tcW w:w="5896" w:type="dxa"/>
            <w:tcBorders>
              <w:bottom w:val="single" w:sz="4" w:space="0" w:color="D9D9D9"/>
            </w:tcBorders>
          </w:tcPr>
          <w:p w14:paraId="1740C5DC" w14:textId="77777777" w:rsidR="00C75A27" w:rsidRPr="003E0D14" w:rsidRDefault="00D4093E">
            <w:pPr>
              <w:spacing w:before="40" w:after="40"/>
              <w:jc w:val="left"/>
              <w:rPr>
                <w:lang w:val="es-PE"/>
              </w:rPr>
            </w:pPr>
            <w:r w:rsidRPr="003E0D14">
              <w:rPr>
                <w:sz w:val="17"/>
                <w:lang w:val="es-PE"/>
              </w:rPr>
              <w:t>Volúmenes de hidrocarburos estimados a partir de acumulaciones conocidas que podrían recuperarse mediante proyectos de desarrollo, pero que todavía no se consideran comercialmente recuperables y</w:t>
            </w:r>
            <w:r>
              <w:rPr>
                <w:sz w:val="17"/>
                <w:lang w:val="es-PE"/>
              </w:rPr>
              <w:t>,</w:t>
            </w:r>
            <w:r w:rsidRPr="003E0D14">
              <w:rPr>
                <w:sz w:val="17"/>
                <w:lang w:val="es-PE"/>
              </w:rPr>
              <w:t xml:space="preserve"> por tanto</w:t>
            </w:r>
            <w:r>
              <w:rPr>
                <w:sz w:val="17"/>
                <w:lang w:val="es-PE"/>
              </w:rPr>
              <w:t>,</w:t>
            </w:r>
            <w:r w:rsidRPr="003E0D14">
              <w:rPr>
                <w:sz w:val="17"/>
                <w:lang w:val="es-PE"/>
              </w:rPr>
              <w:t xml:space="preserve"> no cuentan como reservas.</w:t>
            </w:r>
          </w:p>
        </w:tc>
      </w:tr>
      <w:tr w:rsidR="00C75A27" w:rsidRPr="001D477C" w14:paraId="1EA7378C" w14:textId="77777777">
        <w:trPr>
          <w:cantSplit/>
          <w:jc w:val="center"/>
        </w:trPr>
        <w:tc>
          <w:tcPr>
            <w:tcW w:w="2608" w:type="dxa"/>
            <w:tcBorders>
              <w:bottom w:val="single" w:sz="4" w:space="0" w:color="D9D9D9"/>
            </w:tcBorders>
          </w:tcPr>
          <w:p w14:paraId="4F61123C" w14:textId="77777777" w:rsidR="00C75A27" w:rsidRDefault="00D4093E">
            <w:pPr>
              <w:spacing w:before="40" w:after="40"/>
              <w:jc w:val="left"/>
            </w:pPr>
            <w:r>
              <w:rPr>
                <w:b/>
                <w:sz w:val="17"/>
              </w:rPr>
              <w:t>Recursos prospectivos</w:t>
            </w:r>
          </w:p>
        </w:tc>
        <w:tc>
          <w:tcPr>
            <w:tcW w:w="5896" w:type="dxa"/>
            <w:tcBorders>
              <w:bottom w:val="single" w:sz="4" w:space="0" w:color="D9D9D9"/>
            </w:tcBorders>
          </w:tcPr>
          <w:p w14:paraId="5A0576B1" w14:textId="77777777" w:rsidR="00C75A27" w:rsidRPr="003E0D14" w:rsidRDefault="00D4093E">
            <w:pPr>
              <w:spacing w:before="40" w:after="40"/>
              <w:jc w:val="left"/>
              <w:rPr>
                <w:lang w:val="es-PE"/>
              </w:rPr>
            </w:pPr>
            <w:r w:rsidRPr="003E0D14">
              <w:rPr>
                <w:sz w:val="17"/>
                <w:lang w:val="es-PE"/>
              </w:rPr>
              <w:t>Volúmenes estimados de acumulaciones aún no descubiertas, asociados a la actividad exploratoria por realizar.</w:t>
            </w:r>
          </w:p>
        </w:tc>
      </w:tr>
      <w:tr w:rsidR="00C75A27" w:rsidRPr="001D477C" w14:paraId="5D6E0075" w14:textId="77777777">
        <w:trPr>
          <w:cantSplit/>
          <w:jc w:val="center"/>
        </w:trPr>
        <w:tc>
          <w:tcPr>
            <w:tcW w:w="2608" w:type="dxa"/>
            <w:tcBorders>
              <w:bottom w:val="single" w:sz="4" w:space="0" w:color="D9D9D9"/>
            </w:tcBorders>
          </w:tcPr>
          <w:p w14:paraId="100AC822" w14:textId="77777777" w:rsidR="00C75A27" w:rsidRDefault="00D4093E">
            <w:pPr>
              <w:spacing w:before="40" w:after="40"/>
              <w:jc w:val="left"/>
            </w:pPr>
            <w:r>
              <w:rPr>
                <w:b/>
                <w:sz w:val="17"/>
              </w:rPr>
              <w:t>RER</w:t>
            </w:r>
          </w:p>
        </w:tc>
        <w:tc>
          <w:tcPr>
            <w:tcW w:w="5896" w:type="dxa"/>
            <w:tcBorders>
              <w:bottom w:val="single" w:sz="4" w:space="0" w:color="D9D9D9"/>
            </w:tcBorders>
          </w:tcPr>
          <w:p w14:paraId="08AC84C4" w14:textId="77777777" w:rsidR="00C75A27" w:rsidRPr="003E0D14" w:rsidRDefault="00D4093E">
            <w:pPr>
              <w:spacing w:before="40" w:after="40"/>
              <w:jc w:val="left"/>
              <w:rPr>
                <w:lang w:val="es-PE"/>
              </w:rPr>
            </w:pPr>
            <w:r w:rsidRPr="003E0D14">
              <w:rPr>
                <w:sz w:val="17"/>
                <w:lang w:val="es-PE"/>
              </w:rPr>
              <w:t>Recursos energéticos renovables. Centrales eólicas, solares, de biomasa e hidroeléctricas de hasta 20 MW de capacidad instalada.</w:t>
            </w:r>
          </w:p>
        </w:tc>
      </w:tr>
      <w:tr w:rsidR="00C75A27" w:rsidRPr="001D477C" w14:paraId="36374C2B" w14:textId="77777777">
        <w:trPr>
          <w:cantSplit/>
          <w:jc w:val="center"/>
        </w:trPr>
        <w:tc>
          <w:tcPr>
            <w:tcW w:w="2608" w:type="dxa"/>
            <w:tcBorders>
              <w:bottom w:val="single" w:sz="4" w:space="0" w:color="D9D9D9"/>
            </w:tcBorders>
          </w:tcPr>
          <w:p w14:paraId="60147D9D" w14:textId="77777777" w:rsidR="00C75A27" w:rsidRDefault="00D4093E">
            <w:pPr>
              <w:spacing w:before="40" w:after="40"/>
              <w:jc w:val="left"/>
            </w:pPr>
            <w:r>
              <w:rPr>
                <w:b/>
                <w:sz w:val="17"/>
              </w:rPr>
              <w:t>Reservas probadas</w:t>
            </w:r>
          </w:p>
        </w:tc>
        <w:tc>
          <w:tcPr>
            <w:tcW w:w="5896" w:type="dxa"/>
            <w:tcBorders>
              <w:bottom w:val="single" w:sz="4" w:space="0" w:color="D9D9D9"/>
            </w:tcBorders>
          </w:tcPr>
          <w:p w14:paraId="0D23EC92" w14:textId="77777777" w:rsidR="00C75A27" w:rsidRPr="003E0D14" w:rsidRDefault="00D4093E">
            <w:pPr>
              <w:spacing w:before="40" w:after="40"/>
              <w:jc w:val="left"/>
              <w:rPr>
                <w:lang w:val="es-PE"/>
              </w:rPr>
            </w:pPr>
            <w:r w:rsidRPr="003E0D14">
              <w:rPr>
                <w:sz w:val="17"/>
                <w:lang w:val="es-PE"/>
              </w:rPr>
              <w:t>Volúmenes que la información geológica y de ingeniería permite estimar con razonable certeza como recuperables comercialmente.</w:t>
            </w:r>
          </w:p>
        </w:tc>
      </w:tr>
      <w:tr w:rsidR="00C75A27" w:rsidRPr="001D477C" w14:paraId="69AAC26B" w14:textId="77777777">
        <w:trPr>
          <w:cantSplit/>
          <w:jc w:val="center"/>
        </w:trPr>
        <w:tc>
          <w:tcPr>
            <w:tcW w:w="2608" w:type="dxa"/>
            <w:tcBorders>
              <w:bottom w:val="single" w:sz="4" w:space="0" w:color="D9D9D9"/>
            </w:tcBorders>
          </w:tcPr>
          <w:p w14:paraId="0271F121" w14:textId="77777777" w:rsidR="00C75A27" w:rsidRDefault="00D4093E">
            <w:pPr>
              <w:spacing w:before="40" w:after="40"/>
              <w:jc w:val="left"/>
            </w:pPr>
            <w:r>
              <w:rPr>
                <w:b/>
                <w:sz w:val="17"/>
              </w:rPr>
              <w:t>Reservas probables</w:t>
            </w:r>
          </w:p>
        </w:tc>
        <w:tc>
          <w:tcPr>
            <w:tcW w:w="5896" w:type="dxa"/>
            <w:tcBorders>
              <w:bottom w:val="single" w:sz="4" w:space="0" w:color="D9D9D9"/>
            </w:tcBorders>
          </w:tcPr>
          <w:p w14:paraId="683C3ADB" w14:textId="77777777" w:rsidR="00C75A27" w:rsidRPr="003E0D14" w:rsidRDefault="00D4093E">
            <w:pPr>
              <w:spacing w:before="40" w:after="40"/>
              <w:jc w:val="left"/>
              <w:rPr>
                <w:lang w:val="es-PE"/>
              </w:rPr>
            </w:pPr>
            <w:r w:rsidRPr="003E0D14">
              <w:rPr>
                <w:sz w:val="17"/>
                <w:lang w:val="es-PE"/>
              </w:rPr>
              <w:t>Reservas no probadas cuyo análisis sugiere que es más factible que sean comercialmente recuperables a que no lo sean.</w:t>
            </w:r>
          </w:p>
        </w:tc>
      </w:tr>
      <w:tr w:rsidR="00C75A27" w:rsidRPr="001D477C" w14:paraId="48F6989C" w14:textId="77777777">
        <w:trPr>
          <w:cantSplit/>
          <w:jc w:val="center"/>
        </w:trPr>
        <w:tc>
          <w:tcPr>
            <w:tcW w:w="2608" w:type="dxa"/>
            <w:tcBorders>
              <w:bottom w:val="single" w:sz="4" w:space="0" w:color="D9D9D9"/>
            </w:tcBorders>
          </w:tcPr>
          <w:p w14:paraId="56F17210" w14:textId="77777777" w:rsidR="00C75A27" w:rsidRDefault="00D4093E">
            <w:pPr>
              <w:spacing w:before="40" w:after="40"/>
              <w:jc w:val="left"/>
            </w:pPr>
            <w:r>
              <w:rPr>
                <w:b/>
                <w:sz w:val="17"/>
              </w:rPr>
              <w:t>Reservas posibles</w:t>
            </w:r>
          </w:p>
        </w:tc>
        <w:tc>
          <w:tcPr>
            <w:tcW w:w="5896" w:type="dxa"/>
            <w:tcBorders>
              <w:bottom w:val="single" w:sz="4" w:space="0" w:color="D9D9D9"/>
            </w:tcBorders>
          </w:tcPr>
          <w:p w14:paraId="07B1BEEF" w14:textId="77777777" w:rsidR="00C75A27" w:rsidRPr="003E0D14" w:rsidRDefault="00D4093E">
            <w:pPr>
              <w:spacing w:before="40" w:after="40"/>
              <w:jc w:val="left"/>
              <w:rPr>
                <w:lang w:val="es-PE"/>
              </w:rPr>
            </w:pPr>
            <w:r w:rsidRPr="003E0D14">
              <w:rPr>
                <w:sz w:val="17"/>
                <w:lang w:val="es-PE"/>
              </w:rPr>
              <w:t>Reservas cuya recuperación comercial es menos segura que la de las probables.</w:t>
            </w:r>
          </w:p>
        </w:tc>
      </w:tr>
      <w:tr w:rsidR="00C75A27" w:rsidRPr="001D477C" w14:paraId="6E70EDD4" w14:textId="77777777">
        <w:trPr>
          <w:cantSplit/>
          <w:jc w:val="center"/>
        </w:trPr>
        <w:tc>
          <w:tcPr>
            <w:tcW w:w="2608" w:type="dxa"/>
            <w:tcBorders>
              <w:bottom w:val="single" w:sz="4" w:space="0" w:color="D9D9D9"/>
            </w:tcBorders>
          </w:tcPr>
          <w:p w14:paraId="374984F2" w14:textId="77777777" w:rsidR="00C75A27" w:rsidRDefault="00D4093E">
            <w:pPr>
              <w:spacing w:before="40" w:after="40"/>
              <w:jc w:val="left"/>
            </w:pPr>
            <w:r>
              <w:rPr>
                <w:b/>
                <w:sz w:val="17"/>
              </w:rPr>
              <w:t>Riesgo país</w:t>
            </w:r>
          </w:p>
        </w:tc>
        <w:tc>
          <w:tcPr>
            <w:tcW w:w="5896" w:type="dxa"/>
            <w:tcBorders>
              <w:bottom w:val="single" w:sz="4" w:space="0" w:color="D9D9D9"/>
            </w:tcBorders>
          </w:tcPr>
          <w:p w14:paraId="1A7DFD73" w14:textId="77777777" w:rsidR="00C75A27" w:rsidRPr="003E0D14" w:rsidRDefault="00D4093E">
            <w:pPr>
              <w:spacing w:before="40" w:after="40"/>
              <w:jc w:val="left"/>
              <w:rPr>
                <w:lang w:val="es-PE"/>
              </w:rPr>
            </w:pPr>
            <w:r w:rsidRPr="003E0D14">
              <w:rPr>
                <w:sz w:val="17"/>
                <w:lang w:val="es-PE"/>
              </w:rPr>
              <w:t>Probabilidad de que un emisor soberano no atienda sus compromisos de pago de deuda en los términos acordados.</w:t>
            </w:r>
          </w:p>
        </w:tc>
      </w:tr>
      <w:tr w:rsidR="00C75A27" w:rsidRPr="001D477C" w14:paraId="65C6CE4E" w14:textId="77777777">
        <w:trPr>
          <w:cantSplit/>
          <w:jc w:val="center"/>
        </w:trPr>
        <w:tc>
          <w:tcPr>
            <w:tcW w:w="2608" w:type="dxa"/>
            <w:tcBorders>
              <w:bottom w:val="single" w:sz="4" w:space="0" w:color="D9D9D9"/>
            </w:tcBorders>
          </w:tcPr>
          <w:p w14:paraId="3DD2ECFF" w14:textId="77777777" w:rsidR="00C75A27" w:rsidRDefault="00D4093E">
            <w:pPr>
              <w:spacing w:before="40" w:after="40"/>
              <w:jc w:val="left"/>
            </w:pPr>
            <w:r>
              <w:rPr>
                <w:b/>
                <w:sz w:val="17"/>
              </w:rPr>
              <w:t>SENAMHI</w:t>
            </w:r>
          </w:p>
        </w:tc>
        <w:tc>
          <w:tcPr>
            <w:tcW w:w="5896" w:type="dxa"/>
            <w:tcBorders>
              <w:bottom w:val="single" w:sz="4" w:space="0" w:color="D9D9D9"/>
            </w:tcBorders>
          </w:tcPr>
          <w:p w14:paraId="5FDABE63" w14:textId="77777777" w:rsidR="00C75A27" w:rsidRPr="003E0D14" w:rsidRDefault="00D4093E">
            <w:pPr>
              <w:spacing w:before="40" w:after="40"/>
              <w:jc w:val="left"/>
              <w:rPr>
                <w:lang w:val="es-PE"/>
              </w:rPr>
            </w:pPr>
            <w:r w:rsidRPr="003E0D14">
              <w:rPr>
                <w:sz w:val="17"/>
                <w:lang w:val="es-PE"/>
              </w:rPr>
              <w:t>Servicio Nacional de Meteorología e Hidrología del Perú.</w:t>
            </w:r>
          </w:p>
        </w:tc>
      </w:tr>
      <w:tr w:rsidR="00C75A27" w:rsidRPr="001D477C" w14:paraId="26C73716" w14:textId="77777777">
        <w:trPr>
          <w:cantSplit/>
          <w:jc w:val="center"/>
        </w:trPr>
        <w:tc>
          <w:tcPr>
            <w:tcW w:w="2608" w:type="dxa"/>
            <w:tcBorders>
              <w:bottom w:val="single" w:sz="4" w:space="0" w:color="D9D9D9"/>
            </w:tcBorders>
          </w:tcPr>
          <w:p w14:paraId="7D60E209" w14:textId="77777777" w:rsidR="00C75A27" w:rsidRDefault="00D4093E">
            <w:pPr>
              <w:spacing w:before="40" w:after="40"/>
              <w:jc w:val="left"/>
            </w:pPr>
            <w:r w:rsidRPr="004F3DB7">
              <w:rPr>
                <w:b/>
                <w:i/>
                <w:iCs/>
                <w:sz w:val="17"/>
              </w:rPr>
              <w:t>Shale oil / gas</w:t>
            </w:r>
          </w:p>
        </w:tc>
        <w:tc>
          <w:tcPr>
            <w:tcW w:w="5896" w:type="dxa"/>
            <w:tcBorders>
              <w:bottom w:val="single" w:sz="4" w:space="0" w:color="D9D9D9"/>
            </w:tcBorders>
          </w:tcPr>
          <w:p w14:paraId="08CC7593" w14:textId="77777777" w:rsidR="00C75A27" w:rsidRPr="003E0D14" w:rsidRDefault="00D4093E">
            <w:pPr>
              <w:spacing w:before="40" w:after="40"/>
              <w:jc w:val="left"/>
              <w:rPr>
                <w:lang w:val="es-PE"/>
              </w:rPr>
            </w:pPr>
            <w:r w:rsidRPr="003E0D14">
              <w:rPr>
                <w:sz w:val="17"/>
                <w:lang w:val="es-PE"/>
              </w:rPr>
              <w:t>Formación sedimentaria con gas y petróleo cuya baja permeabilidad impide la extracción con métodos convencionales.</w:t>
            </w:r>
          </w:p>
        </w:tc>
      </w:tr>
      <w:tr w:rsidR="00C75A27" w:rsidRPr="001D477C" w14:paraId="52382204" w14:textId="77777777">
        <w:trPr>
          <w:cantSplit/>
          <w:jc w:val="center"/>
        </w:trPr>
        <w:tc>
          <w:tcPr>
            <w:tcW w:w="2608" w:type="dxa"/>
            <w:tcBorders>
              <w:bottom w:val="single" w:sz="4" w:space="0" w:color="D9D9D9"/>
            </w:tcBorders>
          </w:tcPr>
          <w:p w14:paraId="439900B0" w14:textId="77777777" w:rsidR="00C75A27" w:rsidRDefault="00D4093E">
            <w:pPr>
              <w:spacing w:before="40" w:after="40"/>
              <w:jc w:val="left"/>
            </w:pPr>
            <w:r>
              <w:rPr>
                <w:b/>
                <w:sz w:val="17"/>
              </w:rPr>
              <w:t>Sísmica</w:t>
            </w:r>
          </w:p>
        </w:tc>
        <w:tc>
          <w:tcPr>
            <w:tcW w:w="5896" w:type="dxa"/>
            <w:tcBorders>
              <w:bottom w:val="single" w:sz="4" w:space="0" w:color="D9D9D9"/>
            </w:tcBorders>
          </w:tcPr>
          <w:p w14:paraId="5FBC3488" w14:textId="77777777" w:rsidR="00C75A27" w:rsidRPr="003E0D14" w:rsidRDefault="00D4093E">
            <w:pPr>
              <w:spacing w:before="40" w:after="40"/>
              <w:jc w:val="left"/>
              <w:rPr>
                <w:lang w:val="es-PE"/>
              </w:rPr>
            </w:pPr>
            <w:r w:rsidRPr="003E0D14">
              <w:rPr>
                <w:sz w:val="17"/>
                <w:lang w:val="es-PE"/>
              </w:rPr>
              <w:t>Mecanismo de adquisición de información geológica en la actividad exploratoria.</w:t>
            </w:r>
          </w:p>
        </w:tc>
      </w:tr>
      <w:tr w:rsidR="00C75A27" w:rsidRPr="001D477C" w14:paraId="485C2AEE" w14:textId="77777777">
        <w:trPr>
          <w:cantSplit/>
          <w:jc w:val="center"/>
        </w:trPr>
        <w:tc>
          <w:tcPr>
            <w:tcW w:w="2608" w:type="dxa"/>
            <w:tcBorders>
              <w:bottom w:val="single" w:sz="4" w:space="0" w:color="D9D9D9"/>
            </w:tcBorders>
          </w:tcPr>
          <w:p w14:paraId="16E56739" w14:textId="77777777" w:rsidR="00C75A27" w:rsidRDefault="00D4093E">
            <w:pPr>
              <w:spacing w:before="40" w:after="40"/>
              <w:jc w:val="left"/>
            </w:pPr>
            <w:r>
              <w:rPr>
                <w:b/>
                <w:sz w:val="17"/>
              </w:rPr>
              <w:t>SIT-Gas</w:t>
            </w:r>
          </w:p>
        </w:tc>
        <w:tc>
          <w:tcPr>
            <w:tcW w:w="5896" w:type="dxa"/>
            <w:tcBorders>
              <w:bottom w:val="single" w:sz="4" w:space="0" w:color="D9D9D9"/>
            </w:tcBorders>
          </w:tcPr>
          <w:p w14:paraId="79B5A3DC" w14:textId="77777777" w:rsidR="00C75A27" w:rsidRPr="003E0D14" w:rsidRDefault="00D4093E">
            <w:pPr>
              <w:spacing w:before="40" w:after="40"/>
              <w:jc w:val="left"/>
              <w:rPr>
                <w:lang w:val="es-PE"/>
              </w:rPr>
            </w:pPr>
            <w:r w:rsidRPr="003E0D14">
              <w:rPr>
                <w:sz w:val="17"/>
                <w:lang w:val="es-PE"/>
              </w:rPr>
              <w:t>Sistema Integrado de Transporte de Gas. Proyecto de gasoducto hacia el sur andino, sucesor reformulado del Gasoducto Sur Peruano.</w:t>
            </w:r>
          </w:p>
        </w:tc>
      </w:tr>
      <w:tr w:rsidR="00C75A27" w:rsidRPr="001D477C" w14:paraId="78A3A754" w14:textId="77777777">
        <w:trPr>
          <w:cantSplit/>
          <w:jc w:val="center"/>
        </w:trPr>
        <w:tc>
          <w:tcPr>
            <w:tcW w:w="2608" w:type="dxa"/>
            <w:tcBorders>
              <w:bottom w:val="single" w:sz="4" w:space="0" w:color="D9D9D9"/>
            </w:tcBorders>
          </w:tcPr>
          <w:p w14:paraId="4E7DE0C6" w14:textId="77777777" w:rsidR="00C75A27" w:rsidRDefault="00D4093E">
            <w:pPr>
              <w:spacing w:before="40" w:after="40"/>
              <w:jc w:val="left"/>
            </w:pPr>
            <w:r>
              <w:rPr>
                <w:b/>
                <w:sz w:val="17"/>
              </w:rPr>
              <w:t>TACC</w:t>
            </w:r>
          </w:p>
        </w:tc>
        <w:tc>
          <w:tcPr>
            <w:tcW w:w="5896" w:type="dxa"/>
            <w:tcBorders>
              <w:bottom w:val="single" w:sz="4" w:space="0" w:color="D9D9D9"/>
            </w:tcBorders>
          </w:tcPr>
          <w:p w14:paraId="4E24E64B" w14:textId="77777777" w:rsidR="00C75A27" w:rsidRPr="003E0D14" w:rsidRDefault="00D4093E">
            <w:pPr>
              <w:spacing w:before="40" w:after="40"/>
              <w:jc w:val="left"/>
              <w:rPr>
                <w:lang w:val="es-PE"/>
              </w:rPr>
            </w:pPr>
            <w:r w:rsidRPr="003E0D14">
              <w:rPr>
                <w:sz w:val="17"/>
                <w:lang w:val="es-PE"/>
              </w:rPr>
              <w:t>Tasa de crecimiento anual compuesto. Describe el crecimiento promedio de una variable a lo largo de un periodo.</w:t>
            </w:r>
          </w:p>
        </w:tc>
      </w:tr>
      <w:tr w:rsidR="00C75A27" w:rsidRPr="001D477C" w14:paraId="066C0B1E" w14:textId="77777777">
        <w:trPr>
          <w:cantSplit/>
          <w:jc w:val="center"/>
        </w:trPr>
        <w:tc>
          <w:tcPr>
            <w:tcW w:w="2608" w:type="dxa"/>
            <w:tcBorders>
              <w:bottom w:val="single" w:sz="4" w:space="0" w:color="D9D9D9"/>
            </w:tcBorders>
          </w:tcPr>
          <w:p w14:paraId="39574AC9" w14:textId="77777777" w:rsidR="00C75A27" w:rsidRDefault="00D4093E">
            <w:pPr>
              <w:spacing w:before="40" w:after="40"/>
              <w:jc w:val="left"/>
            </w:pPr>
            <w:r>
              <w:rPr>
                <w:b/>
                <w:sz w:val="17"/>
              </w:rPr>
              <w:lastRenderedPageBreak/>
              <w:t>Tarifa nivelada</w:t>
            </w:r>
          </w:p>
        </w:tc>
        <w:tc>
          <w:tcPr>
            <w:tcW w:w="5896" w:type="dxa"/>
            <w:tcBorders>
              <w:bottom w:val="single" w:sz="4" w:space="0" w:color="D9D9D9"/>
            </w:tcBorders>
          </w:tcPr>
          <w:p w14:paraId="64DCD1DE" w14:textId="72C23B11" w:rsidR="00C75A27" w:rsidRPr="003E0D14" w:rsidRDefault="00D4093E">
            <w:pPr>
              <w:spacing w:before="40" w:after="40"/>
              <w:jc w:val="left"/>
              <w:rPr>
                <w:lang w:val="es-PE"/>
              </w:rPr>
            </w:pPr>
            <w:r w:rsidRPr="003E0D14">
              <w:rPr>
                <w:sz w:val="17"/>
                <w:lang w:val="es-PE"/>
              </w:rPr>
              <w:t xml:space="preserve">Mecanismo creado por la Ley 32315 que iguala el precio final del gas natural de los usuarios regulados de las regiones con el de las concesiones conectadas al </w:t>
            </w:r>
            <w:r>
              <w:rPr>
                <w:sz w:val="17"/>
                <w:lang w:val="es-PE"/>
              </w:rPr>
              <w:t>S</w:t>
            </w:r>
            <w:r w:rsidRPr="003E0D14">
              <w:rPr>
                <w:sz w:val="17"/>
                <w:lang w:val="es-PE"/>
              </w:rPr>
              <w:t xml:space="preserve">istema de </w:t>
            </w:r>
            <w:r>
              <w:rPr>
                <w:sz w:val="17"/>
                <w:lang w:val="es-PE"/>
              </w:rPr>
              <w:t>T</w:t>
            </w:r>
            <w:r w:rsidRPr="003E0D14">
              <w:rPr>
                <w:sz w:val="17"/>
                <w:lang w:val="es-PE"/>
              </w:rPr>
              <w:t>ransporte.</w:t>
            </w:r>
          </w:p>
        </w:tc>
      </w:tr>
      <w:tr w:rsidR="00C75A27" w:rsidRPr="001D477C" w14:paraId="22CC8C08" w14:textId="77777777">
        <w:trPr>
          <w:cantSplit/>
          <w:jc w:val="center"/>
        </w:trPr>
        <w:tc>
          <w:tcPr>
            <w:tcW w:w="2608" w:type="dxa"/>
            <w:tcBorders>
              <w:bottom w:val="single" w:sz="4" w:space="0" w:color="D9D9D9"/>
            </w:tcBorders>
          </w:tcPr>
          <w:p w14:paraId="79F32CBA" w14:textId="77777777" w:rsidR="00C75A27" w:rsidRDefault="00D4093E">
            <w:pPr>
              <w:spacing w:before="40" w:after="40"/>
              <w:jc w:val="left"/>
            </w:pPr>
            <w:r>
              <w:rPr>
                <w:b/>
                <w:sz w:val="17"/>
              </w:rPr>
              <w:t>TGP</w:t>
            </w:r>
          </w:p>
        </w:tc>
        <w:tc>
          <w:tcPr>
            <w:tcW w:w="5896" w:type="dxa"/>
            <w:tcBorders>
              <w:bottom w:val="single" w:sz="4" w:space="0" w:color="D9D9D9"/>
            </w:tcBorders>
          </w:tcPr>
          <w:p w14:paraId="0107C992" w14:textId="77777777" w:rsidR="00C75A27" w:rsidRPr="003E0D14" w:rsidRDefault="00D4093E">
            <w:pPr>
              <w:spacing w:before="40" w:after="40"/>
              <w:jc w:val="left"/>
              <w:rPr>
                <w:lang w:val="es-PE"/>
              </w:rPr>
            </w:pPr>
            <w:r w:rsidRPr="003E0D14">
              <w:rPr>
                <w:sz w:val="17"/>
                <w:lang w:val="es-PE"/>
              </w:rPr>
              <w:t>Transportadora de Gas del Perú. Opera el ducto que lleva el gas natural desde Camisea hasta la costa central.</w:t>
            </w:r>
          </w:p>
        </w:tc>
      </w:tr>
      <w:tr w:rsidR="00C75A27" w:rsidRPr="001D477C" w14:paraId="43F832D4" w14:textId="77777777">
        <w:trPr>
          <w:cantSplit/>
          <w:jc w:val="center"/>
        </w:trPr>
        <w:tc>
          <w:tcPr>
            <w:tcW w:w="2608" w:type="dxa"/>
            <w:tcBorders>
              <w:bottom w:val="single" w:sz="4" w:space="0" w:color="D9D9D9"/>
            </w:tcBorders>
          </w:tcPr>
          <w:p w14:paraId="1C24C5E8" w14:textId="77777777" w:rsidR="00C75A27" w:rsidRDefault="00D4093E">
            <w:pPr>
              <w:spacing w:before="40" w:after="40"/>
              <w:jc w:val="left"/>
            </w:pPr>
            <w:r>
              <w:rPr>
                <w:b/>
                <w:sz w:val="17"/>
              </w:rPr>
              <w:t>Tpc</w:t>
            </w:r>
          </w:p>
        </w:tc>
        <w:tc>
          <w:tcPr>
            <w:tcW w:w="5896" w:type="dxa"/>
            <w:tcBorders>
              <w:bottom w:val="single" w:sz="4" w:space="0" w:color="D9D9D9"/>
            </w:tcBorders>
          </w:tcPr>
          <w:p w14:paraId="49C920B2" w14:textId="77777777" w:rsidR="00C75A27" w:rsidRPr="003E0D14" w:rsidRDefault="00D4093E">
            <w:pPr>
              <w:spacing w:before="40" w:after="40"/>
              <w:jc w:val="left"/>
              <w:rPr>
                <w:lang w:val="es-PE"/>
              </w:rPr>
            </w:pPr>
            <w:r w:rsidRPr="003E0D14">
              <w:rPr>
                <w:sz w:val="17"/>
                <w:lang w:val="es-PE"/>
              </w:rPr>
              <w:t>Tera pies cúbicos: un billón de pies cúbicos.</w:t>
            </w:r>
          </w:p>
        </w:tc>
      </w:tr>
      <w:tr w:rsidR="00C75A27" w:rsidRPr="001D477C" w14:paraId="77D41887" w14:textId="77777777">
        <w:trPr>
          <w:cantSplit/>
          <w:jc w:val="center"/>
        </w:trPr>
        <w:tc>
          <w:tcPr>
            <w:tcW w:w="2608" w:type="dxa"/>
            <w:tcBorders>
              <w:bottom w:val="single" w:sz="4" w:space="0" w:color="D9D9D9"/>
            </w:tcBorders>
          </w:tcPr>
          <w:p w14:paraId="23C2CF3A" w14:textId="77777777" w:rsidR="00C75A27" w:rsidRDefault="00D4093E">
            <w:pPr>
              <w:spacing w:before="40" w:after="40"/>
              <w:jc w:val="left"/>
            </w:pPr>
            <w:r>
              <w:rPr>
                <w:b/>
                <w:sz w:val="17"/>
              </w:rPr>
              <w:t>Transporte virtual</w:t>
            </w:r>
          </w:p>
        </w:tc>
        <w:tc>
          <w:tcPr>
            <w:tcW w:w="5896" w:type="dxa"/>
            <w:tcBorders>
              <w:bottom w:val="single" w:sz="4" w:space="0" w:color="D9D9D9"/>
            </w:tcBorders>
          </w:tcPr>
          <w:p w14:paraId="0394A03E" w14:textId="77777777" w:rsidR="00C75A27" w:rsidRPr="003E0D14" w:rsidRDefault="00D4093E">
            <w:pPr>
              <w:spacing w:before="40" w:after="40"/>
              <w:jc w:val="left"/>
              <w:rPr>
                <w:lang w:val="es-PE"/>
              </w:rPr>
            </w:pPr>
            <w:r w:rsidRPr="003E0D14">
              <w:rPr>
                <w:sz w:val="17"/>
                <w:lang w:val="es-PE"/>
              </w:rPr>
              <w:t>Abastecimiento de una concesión mediante cisternas de gas natural licuado o comprimido, en lugar de un gasoducto.</w:t>
            </w:r>
          </w:p>
        </w:tc>
      </w:tr>
      <w:tr w:rsidR="00C75A27" w:rsidRPr="001D477C" w14:paraId="2E01D2AC" w14:textId="77777777">
        <w:trPr>
          <w:cantSplit/>
          <w:jc w:val="center"/>
        </w:trPr>
        <w:tc>
          <w:tcPr>
            <w:tcW w:w="2608" w:type="dxa"/>
            <w:tcBorders>
              <w:bottom w:val="single" w:sz="4" w:space="0" w:color="D9D9D9"/>
            </w:tcBorders>
          </w:tcPr>
          <w:p w14:paraId="1EBDE11D" w14:textId="77777777" w:rsidR="00C75A27" w:rsidRDefault="00D4093E">
            <w:pPr>
              <w:spacing w:before="40" w:after="40"/>
              <w:jc w:val="left"/>
            </w:pPr>
            <w:r>
              <w:rPr>
                <w:b/>
                <w:sz w:val="17"/>
              </w:rPr>
              <w:t>TTF</w:t>
            </w:r>
          </w:p>
        </w:tc>
        <w:tc>
          <w:tcPr>
            <w:tcW w:w="5896" w:type="dxa"/>
            <w:tcBorders>
              <w:bottom w:val="single" w:sz="4" w:space="0" w:color="D9D9D9"/>
            </w:tcBorders>
          </w:tcPr>
          <w:p w14:paraId="7571E8ED" w14:textId="77777777" w:rsidR="00C75A27" w:rsidRPr="003E0D14" w:rsidRDefault="00D4093E">
            <w:pPr>
              <w:spacing w:before="40" w:after="40"/>
              <w:jc w:val="left"/>
              <w:rPr>
                <w:lang w:val="es-PE"/>
              </w:rPr>
            </w:pPr>
            <w:r w:rsidRPr="003E0D14">
              <w:rPr>
                <w:sz w:val="17"/>
                <w:lang w:val="es-PE"/>
              </w:rPr>
              <w:t>Title Transfer Facility. Precio de referencia del gas natural en Europa.</w:t>
            </w:r>
          </w:p>
        </w:tc>
      </w:tr>
      <w:tr w:rsidR="00C75A27" w:rsidRPr="001D477C" w14:paraId="3BA00257" w14:textId="77777777">
        <w:trPr>
          <w:cantSplit/>
          <w:jc w:val="center"/>
        </w:trPr>
        <w:tc>
          <w:tcPr>
            <w:tcW w:w="2608" w:type="dxa"/>
            <w:tcBorders>
              <w:bottom w:val="single" w:sz="4" w:space="0" w:color="D9D9D9"/>
            </w:tcBorders>
          </w:tcPr>
          <w:p w14:paraId="16FBCCA8" w14:textId="77777777" w:rsidR="00C75A27" w:rsidRDefault="00D4093E">
            <w:pPr>
              <w:spacing w:before="40" w:after="40"/>
              <w:jc w:val="left"/>
            </w:pPr>
            <w:r>
              <w:rPr>
                <w:b/>
                <w:sz w:val="17"/>
              </w:rPr>
              <w:t>Viviendas anilladas</w:t>
            </w:r>
          </w:p>
        </w:tc>
        <w:tc>
          <w:tcPr>
            <w:tcW w:w="5896" w:type="dxa"/>
            <w:tcBorders>
              <w:bottom w:val="single" w:sz="4" w:space="0" w:color="D9D9D9"/>
            </w:tcBorders>
          </w:tcPr>
          <w:p w14:paraId="54E6F709" w14:textId="77777777" w:rsidR="00C75A27" w:rsidRPr="003E0D14" w:rsidRDefault="00D4093E">
            <w:pPr>
              <w:spacing w:before="40" w:after="40"/>
              <w:jc w:val="left"/>
              <w:rPr>
                <w:lang w:val="es-PE"/>
              </w:rPr>
            </w:pPr>
            <w:r w:rsidRPr="003E0D14">
              <w:rPr>
                <w:sz w:val="17"/>
                <w:lang w:val="es-PE"/>
              </w:rPr>
              <w:t>Viviendas frente a las cuales se tendió red y que quedan en condiciones de conectarse al servicio.</w:t>
            </w:r>
          </w:p>
        </w:tc>
      </w:tr>
      <w:tr w:rsidR="00C75A27" w:rsidRPr="001D477C" w14:paraId="51C005C3" w14:textId="77777777">
        <w:trPr>
          <w:cantSplit/>
          <w:jc w:val="center"/>
        </w:trPr>
        <w:tc>
          <w:tcPr>
            <w:tcW w:w="2608" w:type="dxa"/>
            <w:tcBorders>
              <w:bottom w:val="single" w:sz="4" w:space="0" w:color="D9D9D9"/>
            </w:tcBorders>
          </w:tcPr>
          <w:p w14:paraId="12E7B79E" w14:textId="77777777" w:rsidR="00C75A27" w:rsidRDefault="00D4093E">
            <w:pPr>
              <w:spacing w:before="40" w:after="40"/>
              <w:jc w:val="left"/>
            </w:pPr>
            <w:r>
              <w:rPr>
                <w:b/>
                <w:sz w:val="17"/>
              </w:rPr>
              <w:t>WTI</w:t>
            </w:r>
          </w:p>
        </w:tc>
        <w:tc>
          <w:tcPr>
            <w:tcW w:w="5896" w:type="dxa"/>
            <w:tcBorders>
              <w:bottom w:val="single" w:sz="4" w:space="0" w:color="D9D9D9"/>
            </w:tcBorders>
          </w:tcPr>
          <w:p w14:paraId="5E7BE2FE" w14:textId="77777777" w:rsidR="00C75A27" w:rsidRPr="003E0D14" w:rsidRDefault="00D4093E">
            <w:pPr>
              <w:spacing w:before="40" w:after="40"/>
              <w:jc w:val="left"/>
              <w:rPr>
                <w:lang w:val="es-PE"/>
              </w:rPr>
            </w:pPr>
            <w:r w:rsidRPr="003E0D14">
              <w:rPr>
                <w:sz w:val="17"/>
                <w:lang w:val="es-PE"/>
              </w:rPr>
              <w:t>West Texas Intermediate. Precio de referencia del petróleo crudo en los Estados Unidos.</w:t>
            </w:r>
          </w:p>
        </w:tc>
      </w:tr>
    </w:tbl>
    <w:p w14:paraId="048696EE" w14:textId="77777777" w:rsidR="00C75A27" w:rsidRDefault="00D4093E">
      <w:pPr>
        <w:pStyle w:val="Ttulo2"/>
      </w:pPr>
      <w:bookmarkStart w:id="62" w:name="_Idx_8_2"/>
      <w:r>
        <w:lastRenderedPageBreak/>
        <w:t>8.2. Directorio nacional</w:t>
      </w:r>
      <w:bookmarkEnd w:id="62"/>
    </w:p>
    <w:tbl>
      <w:tblPr>
        <w:tblW w:w="0" w:type="auto"/>
        <w:jc w:val="center"/>
        <w:tblLayout w:type="fixed"/>
        <w:tblLook w:val="04A0" w:firstRow="1" w:lastRow="0" w:firstColumn="1" w:lastColumn="0" w:noHBand="0" w:noVBand="1"/>
      </w:tblPr>
      <w:tblGrid>
        <w:gridCol w:w="1474"/>
        <w:gridCol w:w="1928"/>
        <w:gridCol w:w="907"/>
        <w:gridCol w:w="2608"/>
        <w:gridCol w:w="1587"/>
      </w:tblGrid>
      <w:tr w:rsidR="00C75A27" w14:paraId="3B5824D5" w14:textId="77777777">
        <w:trPr>
          <w:cantSplit/>
          <w:jc w:val="center"/>
        </w:trPr>
        <w:tc>
          <w:tcPr>
            <w:tcW w:w="1474" w:type="dxa"/>
            <w:shd w:val="clear" w:color="auto" w:fill="1F3B63"/>
          </w:tcPr>
          <w:p w14:paraId="3A58DB57" w14:textId="77777777" w:rsidR="00C75A27" w:rsidRDefault="00C75A27">
            <w:pPr>
              <w:keepNext/>
              <w:spacing w:before="40" w:after="40"/>
              <w:jc w:val="left"/>
            </w:pPr>
          </w:p>
        </w:tc>
        <w:tc>
          <w:tcPr>
            <w:tcW w:w="1928" w:type="dxa"/>
            <w:shd w:val="clear" w:color="auto" w:fill="1F3B63"/>
          </w:tcPr>
          <w:p w14:paraId="7DE358E4" w14:textId="77777777" w:rsidR="00C75A27" w:rsidRDefault="00D4093E">
            <w:pPr>
              <w:keepNext/>
              <w:spacing w:before="40" w:after="40"/>
              <w:jc w:val="left"/>
            </w:pPr>
            <w:r>
              <w:rPr>
                <w:b/>
                <w:color w:val="FFFFFF"/>
                <w:sz w:val="18"/>
              </w:rPr>
              <w:t>EMPRESA</w:t>
            </w:r>
          </w:p>
        </w:tc>
        <w:tc>
          <w:tcPr>
            <w:tcW w:w="907" w:type="dxa"/>
            <w:shd w:val="clear" w:color="auto" w:fill="1F3B63"/>
          </w:tcPr>
          <w:p w14:paraId="15D61D30" w14:textId="77777777" w:rsidR="00C75A27" w:rsidRDefault="00D4093E">
            <w:pPr>
              <w:keepNext/>
              <w:spacing w:before="40" w:after="40"/>
              <w:jc w:val="left"/>
            </w:pPr>
            <w:r>
              <w:rPr>
                <w:b/>
                <w:color w:val="FFFFFF"/>
                <w:sz w:val="18"/>
              </w:rPr>
              <w:t>CIUDAD</w:t>
            </w:r>
          </w:p>
        </w:tc>
        <w:tc>
          <w:tcPr>
            <w:tcW w:w="2608" w:type="dxa"/>
            <w:shd w:val="clear" w:color="auto" w:fill="1F3B63"/>
          </w:tcPr>
          <w:p w14:paraId="522A85BD" w14:textId="77777777" w:rsidR="00C75A27" w:rsidRDefault="00D4093E">
            <w:pPr>
              <w:keepNext/>
              <w:spacing w:before="40" w:after="40"/>
              <w:jc w:val="left"/>
            </w:pPr>
            <w:r>
              <w:rPr>
                <w:b/>
                <w:color w:val="FFFFFF"/>
                <w:sz w:val="18"/>
              </w:rPr>
              <w:t>DIRECCIÓN</w:t>
            </w:r>
          </w:p>
        </w:tc>
        <w:tc>
          <w:tcPr>
            <w:tcW w:w="1587" w:type="dxa"/>
            <w:shd w:val="clear" w:color="auto" w:fill="1F3B63"/>
          </w:tcPr>
          <w:p w14:paraId="4459928E" w14:textId="77777777" w:rsidR="00C75A27" w:rsidRDefault="00D4093E">
            <w:pPr>
              <w:keepNext/>
              <w:spacing w:before="40" w:after="40"/>
              <w:jc w:val="left"/>
            </w:pPr>
            <w:r>
              <w:rPr>
                <w:b/>
                <w:color w:val="FFFFFF"/>
                <w:sz w:val="18"/>
              </w:rPr>
              <w:t>PÁGINA WEB</w:t>
            </w:r>
          </w:p>
        </w:tc>
      </w:tr>
      <w:tr w:rsidR="00C75A27" w14:paraId="3736C84C" w14:textId="77777777">
        <w:trPr>
          <w:cantSplit/>
          <w:jc w:val="center"/>
        </w:trPr>
        <w:tc>
          <w:tcPr>
            <w:tcW w:w="1474" w:type="dxa"/>
            <w:vMerge w:val="restart"/>
            <w:tcBorders>
              <w:bottom w:val="single" w:sz="4" w:space="0" w:color="D9D9D9"/>
            </w:tcBorders>
          </w:tcPr>
          <w:p w14:paraId="3F89D1A7" w14:textId="77777777" w:rsidR="00C75A27" w:rsidRDefault="00D4093E">
            <w:pPr>
              <w:keepNext/>
              <w:spacing w:before="40" w:after="40"/>
              <w:jc w:val="left"/>
            </w:pPr>
            <w:r>
              <w:rPr>
                <w:sz w:val="16"/>
              </w:rPr>
              <w:t>Distribuidoras</w:t>
            </w:r>
          </w:p>
        </w:tc>
        <w:tc>
          <w:tcPr>
            <w:tcW w:w="1928" w:type="dxa"/>
            <w:tcBorders>
              <w:bottom w:val="single" w:sz="4" w:space="0" w:color="D9D9D9"/>
            </w:tcBorders>
          </w:tcPr>
          <w:p w14:paraId="253CB814" w14:textId="77777777" w:rsidR="00C75A27" w:rsidRDefault="00D4093E">
            <w:pPr>
              <w:keepNext/>
              <w:spacing w:before="40" w:after="40"/>
              <w:jc w:val="left"/>
            </w:pPr>
            <w:r>
              <w:rPr>
                <w:sz w:val="16"/>
              </w:rPr>
              <w:t>Cálidda</w:t>
            </w:r>
          </w:p>
        </w:tc>
        <w:tc>
          <w:tcPr>
            <w:tcW w:w="907" w:type="dxa"/>
            <w:tcBorders>
              <w:bottom w:val="single" w:sz="4" w:space="0" w:color="D9D9D9"/>
            </w:tcBorders>
          </w:tcPr>
          <w:p w14:paraId="256EAAE3" w14:textId="77777777" w:rsidR="00C75A27" w:rsidRDefault="00D4093E">
            <w:pPr>
              <w:keepNext/>
              <w:spacing w:before="40" w:after="40"/>
              <w:jc w:val="left"/>
            </w:pPr>
            <w:r>
              <w:rPr>
                <w:sz w:val="16"/>
              </w:rPr>
              <w:t>Lima</w:t>
            </w:r>
          </w:p>
        </w:tc>
        <w:tc>
          <w:tcPr>
            <w:tcW w:w="2608" w:type="dxa"/>
            <w:tcBorders>
              <w:bottom w:val="single" w:sz="4" w:space="0" w:color="D9D9D9"/>
            </w:tcBorders>
          </w:tcPr>
          <w:p w14:paraId="219E9537" w14:textId="77777777" w:rsidR="00C75A27" w:rsidRPr="003E0D14" w:rsidRDefault="00D4093E">
            <w:pPr>
              <w:keepNext/>
              <w:spacing w:before="40" w:after="40"/>
              <w:jc w:val="left"/>
              <w:rPr>
                <w:lang w:val="es-PE"/>
              </w:rPr>
            </w:pPr>
            <w:r w:rsidRPr="003E0D14">
              <w:rPr>
                <w:sz w:val="16"/>
                <w:lang w:val="es-PE"/>
              </w:rPr>
              <w:t>Calle Morelli 150, C.C. La Rambla – Torre 2, San Borja</w:t>
            </w:r>
          </w:p>
        </w:tc>
        <w:tc>
          <w:tcPr>
            <w:tcW w:w="1587" w:type="dxa"/>
            <w:tcBorders>
              <w:bottom w:val="single" w:sz="4" w:space="0" w:color="D9D9D9"/>
            </w:tcBorders>
          </w:tcPr>
          <w:p w14:paraId="5BCF3526" w14:textId="77777777" w:rsidR="00C75A27" w:rsidRDefault="00D4093E">
            <w:pPr>
              <w:keepNext/>
              <w:spacing w:before="40" w:after="40"/>
              <w:jc w:val="left"/>
            </w:pPr>
            <w:r>
              <w:rPr>
                <w:sz w:val="16"/>
              </w:rPr>
              <w:t>www.calidda.com.pe</w:t>
            </w:r>
          </w:p>
        </w:tc>
      </w:tr>
      <w:tr w:rsidR="00C75A27" w14:paraId="01788B68" w14:textId="77777777">
        <w:trPr>
          <w:cantSplit/>
          <w:jc w:val="center"/>
        </w:trPr>
        <w:tc>
          <w:tcPr>
            <w:tcW w:w="1474" w:type="dxa"/>
            <w:vMerge/>
            <w:tcBorders>
              <w:bottom w:val="single" w:sz="4" w:space="0" w:color="D9D9D9"/>
            </w:tcBorders>
          </w:tcPr>
          <w:p w14:paraId="4BAEEF1D" w14:textId="77777777" w:rsidR="00C75A27" w:rsidRDefault="00C75A27">
            <w:pPr>
              <w:keepNext/>
            </w:pPr>
          </w:p>
        </w:tc>
        <w:tc>
          <w:tcPr>
            <w:tcW w:w="1928" w:type="dxa"/>
            <w:tcBorders>
              <w:bottom w:val="single" w:sz="4" w:space="0" w:color="D9D9D9"/>
            </w:tcBorders>
          </w:tcPr>
          <w:p w14:paraId="11180DC5" w14:textId="77777777" w:rsidR="00C75A27" w:rsidRDefault="00D4093E">
            <w:pPr>
              <w:keepNext/>
              <w:spacing w:before="40" w:after="40"/>
              <w:jc w:val="left"/>
            </w:pPr>
            <w:r>
              <w:rPr>
                <w:sz w:val="16"/>
              </w:rPr>
              <w:t>Quavii – Gases del Pacífico</w:t>
            </w:r>
          </w:p>
        </w:tc>
        <w:tc>
          <w:tcPr>
            <w:tcW w:w="907" w:type="dxa"/>
            <w:tcBorders>
              <w:bottom w:val="single" w:sz="4" w:space="0" w:color="D9D9D9"/>
            </w:tcBorders>
          </w:tcPr>
          <w:p w14:paraId="62D4F70F" w14:textId="77777777" w:rsidR="00C75A27" w:rsidRDefault="00D4093E">
            <w:pPr>
              <w:keepNext/>
              <w:spacing w:before="40" w:after="40"/>
              <w:jc w:val="left"/>
            </w:pPr>
            <w:r>
              <w:rPr>
                <w:sz w:val="16"/>
              </w:rPr>
              <w:t>Lima</w:t>
            </w:r>
          </w:p>
        </w:tc>
        <w:tc>
          <w:tcPr>
            <w:tcW w:w="2608" w:type="dxa"/>
            <w:tcBorders>
              <w:bottom w:val="single" w:sz="4" w:space="0" w:color="D9D9D9"/>
            </w:tcBorders>
          </w:tcPr>
          <w:p w14:paraId="1F16F901" w14:textId="77777777" w:rsidR="00C75A27" w:rsidRPr="003E0D14" w:rsidRDefault="00D4093E">
            <w:pPr>
              <w:keepNext/>
              <w:spacing w:before="40" w:after="40"/>
              <w:jc w:val="left"/>
              <w:rPr>
                <w:lang w:val="es-PE"/>
              </w:rPr>
            </w:pPr>
            <w:r w:rsidRPr="003E0D14">
              <w:rPr>
                <w:sz w:val="16"/>
                <w:lang w:val="es-PE"/>
              </w:rPr>
              <w:t>Av. Las Orquídeas 585, dpto. 1102 – Edificio Fibra, San Isidro</w:t>
            </w:r>
          </w:p>
        </w:tc>
        <w:tc>
          <w:tcPr>
            <w:tcW w:w="1587" w:type="dxa"/>
            <w:tcBorders>
              <w:bottom w:val="single" w:sz="4" w:space="0" w:color="D9D9D9"/>
            </w:tcBorders>
          </w:tcPr>
          <w:p w14:paraId="4F5B6D2F" w14:textId="77777777" w:rsidR="00C75A27" w:rsidRDefault="00D4093E">
            <w:pPr>
              <w:keepNext/>
              <w:spacing w:before="40" w:after="40"/>
              <w:jc w:val="left"/>
            </w:pPr>
            <w:r>
              <w:rPr>
                <w:sz w:val="16"/>
              </w:rPr>
              <w:t>www.gasesdelpacifico.pe</w:t>
            </w:r>
          </w:p>
        </w:tc>
      </w:tr>
      <w:tr w:rsidR="00C75A27" w14:paraId="1573DBF9" w14:textId="77777777">
        <w:trPr>
          <w:cantSplit/>
          <w:jc w:val="center"/>
        </w:trPr>
        <w:tc>
          <w:tcPr>
            <w:tcW w:w="1474" w:type="dxa"/>
            <w:vMerge/>
            <w:tcBorders>
              <w:bottom w:val="single" w:sz="4" w:space="0" w:color="D9D9D9"/>
            </w:tcBorders>
          </w:tcPr>
          <w:p w14:paraId="0888B468" w14:textId="77777777" w:rsidR="00C75A27" w:rsidRDefault="00C75A27">
            <w:pPr>
              <w:keepNext/>
            </w:pPr>
          </w:p>
        </w:tc>
        <w:tc>
          <w:tcPr>
            <w:tcW w:w="1928" w:type="dxa"/>
            <w:tcBorders>
              <w:bottom w:val="single" w:sz="4" w:space="0" w:color="D9D9D9"/>
            </w:tcBorders>
          </w:tcPr>
          <w:p w14:paraId="7F7D9FEB" w14:textId="77777777" w:rsidR="00C75A27" w:rsidRPr="003E0D14" w:rsidRDefault="00D4093E">
            <w:pPr>
              <w:keepNext/>
              <w:spacing w:before="40" w:after="40"/>
              <w:jc w:val="left"/>
              <w:rPr>
                <w:lang w:val="es-PE"/>
              </w:rPr>
            </w:pPr>
            <w:r w:rsidRPr="003E0D14">
              <w:rPr>
                <w:sz w:val="16"/>
                <w:lang w:val="es-PE"/>
              </w:rPr>
              <w:t>Quavii – Gases del Norte del Perú</w:t>
            </w:r>
          </w:p>
        </w:tc>
        <w:tc>
          <w:tcPr>
            <w:tcW w:w="907" w:type="dxa"/>
            <w:tcBorders>
              <w:bottom w:val="single" w:sz="4" w:space="0" w:color="D9D9D9"/>
            </w:tcBorders>
          </w:tcPr>
          <w:p w14:paraId="116CF12C" w14:textId="77777777" w:rsidR="00C75A27" w:rsidRDefault="00D4093E">
            <w:pPr>
              <w:keepNext/>
              <w:spacing w:before="40" w:after="40"/>
              <w:jc w:val="left"/>
            </w:pPr>
            <w:r>
              <w:rPr>
                <w:sz w:val="16"/>
              </w:rPr>
              <w:t>Piura</w:t>
            </w:r>
          </w:p>
        </w:tc>
        <w:tc>
          <w:tcPr>
            <w:tcW w:w="2608" w:type="dxa"/>
            <w:tcBorders>
              <w:bottom w:val="single" w:sz="4" w:space="0" w:color="D9D9D9"/>
            </w:tcBorders>
          </w:tcPr>
          <w:p w14:paraId="1B6CEB58" w14:textId="77777777" w:rsidR="00C75A27" w:rsidRDefault="00D4093E">
            <w:pPr>
              <w:keepNext/>
              <w:spacing w:before="40" w:after="40"/>
              <w:jc w:val="left"/>
            </w:pPr>
            <w:r>
              <w:rPr>
                <w:sz w:val="16"/>
              </w:rPr>
              <w:t>Concesión Piura</w:t>
            </w:r>
          </w:p>
        </w:tc>
        <w:tc>
          <w:tcPr>
            <w:tcW w:w="1587" w:type="dxa"/>
            <w:tcBorders>
              <w:bottom w:val="single" w:sz="4" w:space="0" w:color="D9D9D9"/>
            </w:tcBorders>
          </w:tcPr>
          <w:p w14:paraId="3C8D57F3" w14:textId="77777777" w:rsidR="00C75A27" w:rsidRDefault="00D4093E">
            <w:pPr>
              <w:keepNext/>
              <w:spacing w:before="40" w:after="40"/>
              <w:jc w:val="left"/>
            </w:pPr>
            <w:r>
              <w:rPr>
                <w:sz w:val="16"/>
              </w:rPr>
              <w:t>www.gasesdelpacifico.pe</w:t>
            </w:r>
          </w:p>
        </w:tc>
      </w:tr>
      <w:tr w:rsidR="00C75A27" w14:paraId="0A9AABB1" w14:textId="77777777">
        <w:trPr>
          <w:cantSplit/>
          <w:jc w:val="center"/>
        </w:trPr>
        <w:tc>
          <w:tcPr>
            <w:tcW w:w="1474" w:type="dxa"/>
            <w:vMerge/>
            <w:tcBorders>
              <w:bottom w:val="single" w:sz="4" w:space="0" w:color="D9D9D9"/>
            </w:tcBorders>
          </w:tcPr>
          <w:p w14:paraId="18CA9901" w14:textId="77777777" w:rsidR="00C75A27" w:rsidRDefault="00C75A27">
            <w:pPr>
              <w:keepNext/>
            </w:pPr>
          </w:p>
        </w:tc>
        <w:tc>
          <w:tcPr>
            <w:tcW w:w="1928" w:type="dxa"/>
            <w:tcBorders>
              <w:bottom w:val="single" w:sz="4" w:space="0" w:color="D9D9D9"/>
            </w:tcBorders>
          </w:tcPr>
          <w:p w14:paraId="2F5C8206" w14:textId="77777777" w:rsidR="00C75A27" w:rsidRDefault="00D4093E">
            <w:pPr>
              <w:keepNext/>
              <w:spacing w:before="40" w:after="40"/>
              <w:jc w:val="left"/>
            </w:pPr>
            <w:r>
              <w:rPr>
                <w:sz w:val="16"/>
              </w:rPr>
              <w:t>Contugas</w:t>
            </w:r>
          </w:p>
        </w:tc>
        <w:tc>
          <w:tcPr>
            <w:tcW w:w="907" w:type="dxa"/>
            <w:tcBorders>
              <w:bottom w:val="single" w:sz="4" w:space="0" w:color="D9D9D9"/>
            </w:tcBorders>
          </w:tcPr>
          <w:p w14:paraId="0AF4DEAC" w14:textId="77777777" w:rsidR="00C75A27" w:rsidRDefault="00D4093E">
            <w:pPr>
              <w:keepNext/>
              <w:spacing w:before="40" w:after="40"/>
              <w:jc w:val="left"/>
            </w:pPr>
            <w:r>
              <w:rPr>
                <w:sz w:val="16"/>
              </w:rPr>
              <w:t>Ica</w:t>
            </w:r>
          </w:p>
        </w:tc>
        <w:tc>
          <w:tcPr>
            <w:tcW w:w="2608" w:type="dxa"/>
            <w:tcBorders>
              <w:bottom w:val="single" w:sz="4" w:space="0" w:color="D9D9D9"/>
            </w:tcBorders>
          </w:tcPr>
          <w:p w14:paraId="6F0F32B1" w14:textId="77777777" w:rsidR="00C75A27" w:rsidRPr="003E0D14" w:rsidRDefault="00D4093E">
            <w:pPr>
              <w:keepNext/>
              <w:spacing w:before="40" w:after="40"/>
              <w:jc w:val="left"/>
              <w:rPr>
                <w:lang w:val="es-PE"/>
              </w:rPr>
            </w:pPr>
            <w:r w:rsidRPr="003E0D14">
              <w:rPr>
                <w:sz w:val="16"/>
                <w:lang w:val="es-PE"/>
              </w:rPr>
              <w:t>Av. Conde de Nieva 317, Ica</w:t>
            </w:r>
          </w:p>
        </w:tc>
        <w:tc>
          <w:tcPr>
            <w:tcW w:w="1587" w:type="dxa"/>
            <w:tcBorders>
              <w:bottom w:val="single" w:sz="4" w:space="0" w:color="D9D9D9"/>
            </w:tcBorders>
          </w:tcPr>
          <w:p w14:paraId="351891B5" w14:textId="77777777" w:rsidR="00C75A27" w:rsidRDefault="00D4093E">
            <w:pPr>
              <w:keepNext/>
              <w:spacing w:before="40" w:after="40"/>
              <w:jc w:val="left"/>
            </w:pPr>
            <w:r>
              <w:rPr>
                <w:sz w:val="16"/>
              </w:rPr>
              <w:t>www.contugas.com.pe</w:t>
            </w:r>
          </w:p>
        </w:tc>
      </w:tr>
      <w:tr w:rsidR="00C75A27" w14:paraId="3AC3D798" w14:textId="77777777">
        <w:trPr>
          <w:cantSplit/>
          <w:jc w:val="center"/>
        </w:trPr>
        <w:tc>
          <w:tcPr>
            <w:tcW w:w="1474" w:type="dxa"/>
            <w:vMerge/>
            <w:tcBorders>
              <w:bottom w:val="single" w:sz="4" w:space="0" w:color="D9D9D9"/>
            </w:tcBorders>
          </w:tcPr>
          <w:p w14:paraId="6AB95E18" w14:textId="77777777" w:rsidR="00C75A27" w:rsidRDefault="00C75A27">
            <w:pPr>
              <w:keepNext/>
            </w:pPr>
          </w:p>
        </w:tc>
        <w:tc>
          <w:tcPr>
            <w:tcW w:w="1928" w:type="dxa"/>
            <w:tcBorders>
              <w:bottom w:val="single" w:sz="4" w:space="0" w:color="D9D9D9"/>
            </w:tcBorders>
          </w:tcPr>
          <w:p w14:paraId="645BB2C8" w14:textId="77777777" w:rsidR="00C75A27" w:rsidRDefault="00D4093E">
            <w:pPr>
              <w:keepNext/>
              <w:spacing w:before="40" w:after="40"/>
              <w:jc w:val="left"/>
            </w:pPr>
            <w:r>
              <w:rPr>
                <w:sz w:val="16"/>
              </w:rPr>
              <w:t>Petroperú</w:t>
            </w:r>
          </w:p>
        </w:tc>
        <w:tc>
          <w:tcPr>
            <w:tcW w:w="907" w:type="dxa"/>
            <w:tcBorders>
              <w:bottom w:val="single" w:sz="4" w:space="0" w:color="D9D9D9"/>
            </w:tcBorders>
          </w:tcPr>
          <w:p w14:paraId="2CE68A5C" w14:textId="77777777" w:rsidR="00C75A27" w:rsidRDefault="00D4093E">
            <w:pPr>
              <w:keepNext/>
              <w:spacing w:before="40" w:after="40"/>
              <w:jc w:val="left"/>
            </w:pPr>
            <w:r>
              <w:rPr>
                <w:sz w:val="16"/>
              </w:rPr>
              <w:t>Lima</w:t>
            </w:r>
          </w:p>
        </w:tc>
        <w:tc>
          <w:tcPr>
            <w:tcW w:w="2608" w:type="dxa"/>
            <w:tcBorders>
              <w:bottom w:val="single" w:sz="4" w:space="0" w:color="D9D9D9"/>
            </w:tcBorders>
          </w:tcPr>
          <w:p w14:paraId="2356ADE3" w14:textId="77777777" w:rsidR="00C75A27" w:rsidRPr="003E0D14" w:rsidRDefault="00D4093E">
            <w:pPr>
              <w:keepNext/>
              <w:spacing w:before="40" w:after="40"/>
              <w:jc w:val="left"/>
              <w:rPr>
                <w:lang w:val="es-PE"/>
              </w:rPr>
            </w:pPr>
            <w:r w:rsidRPr="003E0D14">
              <w:rPr>
                <w:sz w:val="16"/>
                <w:lang w:val="es-PE"/>
              </w:rPr>
              <w:t>Av. Enrique Canaval Moreyra 150, San Isidro</w:t>
            </w:r>
          </w:p>
        </w:tc>
        <w:tc>
          <w:tcPr>
            <w:tcW w:w="1587" w:type="dxa"/>
            <w:tcBorders>
              <w:bottom w:val="single" w:sz="4" w:space="0" w:color="D9D9D9"/>
            </w:tcBorders>
          </w:tcPr>
          <w:p w14:paraId="4F59955C" w14:textId="77777777" w:rsidR="00C75A27" w:rsidRDefault="00D4093E">
            <w:pPr>
              <w:keepNext/>
              <w:spacing w:before="40" w:after="40"/>
              <w:jc w:val="left"/>
            </w:pPr>
            <w:r>
              <w:rPr>
                <w:sz w:val="16"/>
              </w:rPr>
              <w:t>www.petroperu.com.pe</w:t>
            </w:r>
          </w:p>
        </w:tc>
      </w:tr>
      <w:tr w:rsidR="00C75A27" w14:paraId="5E204AA3" w14:textId="77777777">
        <w:trPr>
          <w:cantSplit/>
          <w:jc w:val="center"/>
        </w:trPr>
        <w:tc>
          <w:tcPr>
            <w:tcW w:w="1474" w:type="dxa"/>
            <w:vMerge w:val="restart"/>
            <w:tcBorders>
              <w:bottom w:val="single" w:sz="4" w:space="0" w:color="D9D9D9"/>
            </w:tcBorders>
          </w:tcPr>
          <w:p w14:paraId="0632AEA6" w14:textId="77777777" w:rsidR="00C75A27" w:rsidRDefault="00D4093E">
            <w:pPr>
              <w:keepNext/>
              <w:spacing w:before="40" w:after="40"/>
              <w:jc w:val="left"/>
            </w:pPr>
            <w:r>
              <w:rPr>
                <w:sz w:val="16"/>
              </w:rPr>
              <w:t>Productores</w:t>
            </w:r>
          </w:p>
        </w:tc>
        <w:tc>
          <w:tcPr>
            <w:tcW w:w="1928" w:type="dxa"/>
            <w:tcBorders>
              <w:bottom w:val="single" w:sz="4" w:space="0" w:color="D9D9D9"/>
            </w:tcBorders>
          </w:tcPr>
          <w:p w14:paraId="6162D445" w14:textId="77777777" w:rsidR="00C75A27" w:rsidRDefault="00D4093E">
            <w:pPr>
              <w:keepNext/>
              <w:spacing w:before="40" w:after="40"/>
              <w:jc w:val="left"/>
            </w:pPr>
            <w:r>
              <w:rPr>
                <w:sz w:val="16"/>
              </w:rPr>
              <w:t>Pluspetrol Perú</w:t>
            </w:r>
          </w:p>
        </w:tc>
        <w:tc>
          <w:tcPr>
            <w:tcW w:w="907" w:type="dxa"/>
            <w:tcBorders>
              <w:bottom w:val="single" w:sz="4" w:space="0" w:color="D9D9D9"/>
            </w:tcBorders>
          </w:tcPr>
          <w:p w14:paraId="27763D39" w14:textId="77777777" w:rsidR="00C75A27" w:rsidRDefault="00D4093E">
            <w:pPr>
              <w:keepNext/>
              <w:spacing w:before="40" w:after="40"/>
              <w:jc w:val="left"/>
            </w:pPr>
            <w:r>
              <w:rPr>
                <w:sz w:val="16"/>
              </w:rPr>
              <w:t>Lima</w:t>
            </w:r>
          </w:p>
        </w:tc>
        <w:tc>
          <w:tcPr>
            <w:tcW w:w="2608" w:type="dxa"/>
            <w:tcBorders>
              <w:bottom w:val="single" w:sz="4" w:space="0" w:color="D9D9D9"/>
            </w:tcBorders>
          </w:tcPr>
          <w:p w14:paraId="7E178B98" w14:textId="77777777" w:rsidR="00C75A27" w:rsidRPr="003E0D14" w:rsidRDefault="00D4093E">
            <w:pPr>
              <w:keepNext/>
              <w:spacing w:before="40" w:after="40"/>
              <w:jc w:val="left"/>
              <w:rPr>
                <w:lang w:val="es-PE"/>
              </w:rPr>
            </w:pPr>
            <w:r w:rsidRPr="003E0D14">
              <w:rPr>
                <w:sz w:val="16"/>
                <w:lang w:val="es-PE"/>
              </w:rPr>
              <w:t>Calle Las Begonias 415, piso 11, San Isidro</w:t>
            </w:r>
          </w:p>
        </w:tc>
        <w:tc>
          <w:tcPr>
            <w:tcW w:w="1587" w:type="dxa"/>
            <w:tcBorders>
              <w:bottom w:val="single" w:sz="4" w:space="0" w:color="D9D9D9"/>
            </w:tcBorders>
          </w:tcPr>
          <w:p w14:paraId="685348E4" w14:textId="77777777" w:rsidR="00C75A27" w:rsidRDefault="00D4093E">
            <w:pPr>
              <w:keepNext/>
              <w:spacing w:before="40" w:after="40"/>
              <w:jc w:val="left"/>
            </w:pPr>
            <w:r>
              <w:rPr>
                <w:sz w:val="16"/>
              </w:rPr>
              <w:t>www.pluspetrol.net</w:t>
            </w:r>
          </w:p>
        </w:tc>
      </w:tr>
      <w:tr w:rsidR="00C75A27" w14:paraId="4A8592BA" w14:textId="77777777">
        <w:trPr>
          <w:cantSplit/>
          <w:jc w:val="center"/>
        </w:trPr>
        <w:tc>
          <w:tcPr>
            <w:tcW w:w="1474" w:type="dxa"/>
            <w:vMerge/>
            <w:tcBorders>
              <w:bottom w:val="single" w:sz="4" w:space="0" w:color="D9D9D9"/>
            </w:tcBorders>
          </w:tcPr>
          <w:p w14:paraId="17DC3A11" w14:textId="77777777" w:rsidR="00C75A27" w:rsidRDefault="00C75A27">
            <w:pPr>
              <w:keepNext/>
            </w:pPr>
          </w:p>
        </w:tc>
        <w:tc>
          <w:tcPr>
            <w:tcW w:w="1928" w:type="dxa"/>
            <w:tcBorders>
              <w:bottom w:val="single" w:sz="4" w:space="0" w:color="D9D9D9"/>
            </w:tcBorders>
          </w:tcPr>
          <w:p w14:paraId="76AC5266" w14:textId="77777777" w:rsidR="00C75A27" w:rsidRDefault="00D4093E">
            <w:pPr>
              <w:keepNext/>
              <w:spacing w:before="40" w:after="40"/>
              <w:jc w:val="left"/>
            </w:pPr>
            <w:r>
              <w:rPr>
                <w:sz w:val="16"/>
              </w:rPr>
              <w:t>Repsol Exploración Perú</w:t>
            </w:r>
          </w:p>
        </w:tc>
        <w:tc>
          <w:tcPr>
            <w:tcW w:w="907" w:type="dxa"/>
            <w:tcBorders>
              <w:bottom w:val="single" w:sz="4" w:space="0" w:color="D9D9D9"/>
            </w:tcBorders>
          </w:tcPr>
          <w:p w14:paraId="4BE2040C" w14:textId="77777777" w:rsidR="00C75A27" w:rsidRDefault="00D4093E">
            <w:pPr>
              <w:keepNext/>
              <w:spacing w:before="40" w:after="40"/>
              <w:jc w:val="left"/>
            </w:pPr>
            <w:r>
              <w:rPr>
                <w:sz w:val="16"/>
              </w:rPr>
              <w:t>Lima</w:t>
            </w:r>
          </w:p>
        </w:tc>
        <w:tc>
          <w:tcPr>
            <w:tcW w:w="2608" w:type="dxa"/>
            <w:tcBorders>
              <w:bottom w:val="single" w:sz="4" w:space="0" w:color="D9D9D9"/>
            </w:tcBorders>
          </w:tcPr>
          <w:p w14:paraId="38C216E7" w14:textId="77777777" w:rsidR="00C75A27" w:rsidRPr="003E0D14" w:rsidRDefault="00D4093E">
            <w:pPr>
              <w:keepNext/>
              <w:spacing w:before="40" w:after="40"/>
              <w:jc w:val="left"/>
              <w:rPr>
                <w:lang w:val="es-PE"/>
              </w:rPr>
            </w:pPr>
            <w:r w:rsidRPr="003E0D14">
              <w:rPr>
                <w:sz w:val="16"/>
                <w:lang w:val="es-PE"/>
              </w:rPr>
              <w:t>Av. Víctor Andrés Belaúnde 147, San Isidro</w:t>
            </w:r>
          </w:p>
        </w:tc>
        <w:tc>
          <w:tcPr>
            <w:tcW w:w="1587" w:type="dxa"/>
            <w:tcBorders>
              <w:bottom w:val="single" w:sz="4" w:space="0" w:color="D9D9D9"/>
            </w:tcBorders>
          </w:tcPr>
          <w:p w14:paraId="08F56DE5" w14:textId="77777777" w:rsidR="00C75A27" w:rsidRDefault="00D4093E">
            <w:pPr>
              <w:keepNext/>
              <w:spacing w:before="40" w:after="40"/>
              <w:jc w:val="left"/>
            </w:pPr>
            <w:r>
              <w:rPr>
                <w:sz w:val="16"/>
              </w:rPr>
              <w:t>www.repsol.com</w:t>
            </w:r>
          </w:p>
        </w:tc>
      </w:tr>
      <w:tr w:rsidR="00C75A27" w14:paraId="1E35B58C" w14:textId="77777777">
        <w:trPr>
          <w:cantSplit/>
          <w:jc w:val="center"/>
        </w:trPr>
        <w:tc>
          <w:tcPr>
            <w:tcW w:w="1474" w:type="dxa"/>
            <w:vMerge/>
            <w:tcBorders>
              <w:bottom w:val="single" w:sz="4" w:space="0" w:color="D9D9D9"/>
            </w:tcBorders>
          </w:tcPr>
          <w:p w14:paraId="015ACDAE" w14:textId="77777777" w:rsidR="00C75A27" w:rsidRDefault="00C75A27">
            <w:pPr>
              <w:keepNext/>
            </w:pPr>
          </w:p>
        </w:tc>
        <w:tc>
          <w:tcPr>
            <w:tcW w:w="1928" w:type="dxa"/>
            <w:tcBorders>
              <w:bottom w:val="single" w:sz="4" w:space="0" w:color="D9D9D9"/>
            </w:tcBorders>
          </w:tcPr>
          <w:p w14:paraId="1391331A" w14:textId="77777777" w:rsidR="00C75A27" w:rsidRDefault="00D4093E">
            <w:pPr>
              <w:keepNext/>
              <w:spacing w:before="40" w:after="40"/>
              <w:jc w:val="left"/>
            </w:pPr>
            <w:r>
              <w:rPr>
                <w:sz w:val="16"/>
              </w:rPr>
              <w:t>CNPC Perú</w:t>
            </w:r>
          </w:p>
        </w:tc>
        <w:tc>
          <w:tcPr>
            <w:tcW w:w="907" w:type="dxa"/>
            <w:tcBorders>
              <w:bottom w:val="single" w:sz="4" w:space="0" w:color="D9D9D9"/>
            </w:tcBorders>
          </w:tcPr>
          <w:p w14:paraId="44622A56" w14:textId="77777777" w:rsidR="00C75A27" w:rsidRDefault="00D4093E">
            <w:pPr>
              <w:keepNext/>
              <w:spacing w:before="40" w:after="40"/>
              <w:jc w:val="left"/>
            </w:pPr>
            <w:r>
              <w:rPr>
                <w:sz w:val="16"/>
              </w:rPr>
              <w:t>Lima</w:t>
            </w:r>
          </w:p>
        </w:tc>
        <w:tc>
          <w:tcPr>
            <w:tcW w:w="2608" w:type="dxa"/>
            <w:tcBorders>
              <w:bottom w:val="single" w:sz="4" w:space="0" w:color="D9D9D9"/>
            </w:tcBorders>
          </w:tcPr>
          <w:p w14:paraId="04FF0BEF" w14:textId="77777777" w:rsidR="00C75A27" w:rsidRDefault="00D4093E">
            <w:pPr>
              <w:keepNext/>
              <w:spacing w:before="40" w:after="40"/>
              <w:jc w:val="left"/>
            </w:pPr>
            <w:r>
              <w:rPr>
                <w:sz w:val="16"/>
              </w:rPr>
              <w:t>Lote 58, Megantoni (Cusco)</w:t>
            </w:r>
          </w:p>
        </w:tc>
        <w:tc>
          <w:tcPr>
            <w:tcW w:w="1587" w:type="dxa"/>
            <w:tcBorders>
              <w:bottom w:val="single" w:sz="4" w:space="0" w:color="D9D9D9"/>
            </w:tcBorders>
          </w:tcPr>
          <w:p w14:paraId="47799429" w14:textId="77777777" w:rsidR="00C75A27" w:rsidRDefault="00D4093E">
            <w:pPr>
              <w:keepNext/>
              <w:spacing w:before="40" w:after="40"/>
              <w:jc w:val="left"/>
            </w:pPr>
            <w:r>
              <w:rPr>
                <w:sz w:val="16"/>
              </w:rPr>
              <w:t>www.cnpc.com.cn</w:t>
            </w:r>
          </w:p>
        </w:tc>
      </w:tr>
      <w:tr w:rsidR="00C75A27" w14:paraId="2AB6914B" w14:textId="77777777">
        <w:trPr>
          <w:cantSplit/>
          <w:jc w:val="center"/>
        </w:trPr>
        <w:tc>
          <w:tcPr>
            <w:tcW w:w="1474" w:type="dxa"/>
            <w:vMerge/>
            <w:tcBorders>
              <w:bottom w:val="single" w:sz="4" w:space="0" w:color="D9D9D9"/>
            </w:tcBorders>
          </w:tcPr>
          <w:p w14:paraId="0D828EBC" w14:textId="77777777" w:rsidR="00C75A27" w:rsidRDefault="00C75A27">
            <w:pPr>
              <w:keepNext/>
            </w:pPr>
          </w:p>
        </w:tc>
        <w:tc>
          <w:tcPr>
            <w:tcW w:w="1928" w:type="dxa"/>
            <w:tcBorders>
              <w:bottom w:val="single" w:sz="4" w:space="0" w:color="D9D9D9"/>
            </w:tcBorders>
          </w:tcPr>
          <w:p w14:paraId="64AA71B9" w14:textId="77777777" w:rsidR="00C75A27" w:rsidRDefault="00D4093E">
            <w:pPr>
              <w:keepNext/>
              <w:spacing w:before="40" w:after="40"/>
              <w:jc w:val="left"/>
            </w:pPr>
            <w:r>
              <w:rPr>
                <w:sz w:val="16"/>
              </w:rPr>
              <w:t>PetroTal</w:t>
            </w:r>
          </w:p>
        </w:tc>
        <w:tc>
          <w:tcPr>
            <w:tcW w:w="907" w:type="dxa"/>
            <w:tcBorders>
              <w:bottom w:val="single" w:sz="4" w:space="0" w:color="D9D9D9"/>
            </w:tcBorders>
          </w:tcPr>
          <w:p w14:paraId="79D9C595" w14:textId="77777777" w:rsidR="00C75A27" w:rsidRDefault="00D4093E">
            <w:pPr>
              <w:keepNext/>
              <w:spacing w:before="40" w:after="40"/>
              <w:jc w:val="left"/>
            </w:pPr>
            <w:r>
              <w:rPr>
                <w:sz w:val="16"/>
              </w:rPr>
              <w:t>Lima</w:t>
            </w:r>
          </w:p>
        </w:tc>
        <w:tc>
          <w:tcPr>
            <w:tcW w:w="2608" w:type="dxa"/>
            <w:tcBorders>
              <w:bottom w:val="single" w:sz="4" w:space="0" w:color="D9D9D9"/>
            </w:tcBorders>
          </w:tcPr>
          <w:p w14:paraId="327DDD3D" w14:textId="77777777" w:rsidR="00C75A27" w:rsidRDefault="00D4093E">
            <w:pPr>
              <w:keepNext/>
              <w:spacing w:before="40" w:after="40"/>
              <w:jc w:val="left"/>
            </w:pPr>
            <w:r>
              <w:rPr>
                <w:sz w:val="16"/>
              </w:rPr>
              <w:t>Lote 95, Bretaña (Loreto)</w:t>
            </w:r>
          </w:p>
        </w:tc>
        <w:tc>
          <w:tcPr>
            <w:tcW w:w="1587" w:type="dxa"/>
            <w:tcBorders>
              <w:bottom w:val="single" w:sz="4" w:space="0" w:color="D9D9D9"/>
            </w:tcBorders>
          </w:tcPr>
          <w:p w14:paraId="219D4D98" w14:textId="77777777" w:rsidR="00C75A27" w:rsidRDefault="00D4093E">
            <w:pPr>
              <w:keepNext/>
              <w:spacing w:before="40" w:after="40"/>
              <w:jc w:val="left"/>
            </w:pPr>
            <w:r>
              <w:rPr>
                <w:sz w:val="16"/>
              </w:rPr>
              <w:t>www.petrotal-corp.com</w:t>
            </w:r>
          </w:p>
        </w:tc>
      </w:tr>
      <w:tr w:rsidR="00C75A27" w14:paraId="72237D23" w14:textId="77777777">
        <w:trPr>
          <w:cantSplit/>
          <w:jc w:val="center"/>
        </w:trPr>
        <w:tc>
          <w:tcPr>
            <w:tcW w:w="1474" w:type="dxa"/>
            <w:vMerge/>
            <w:tcBorders>
              <w:bottom w:val="single" w:sz="4" w:space="0" w:color="D9D9D9"/>
            </w:tcBorders>
          </w:tcPr>
          <w:p w14:paraId="38F0B241" w14:textId="77777777" w:rsidR="00C75A27" w:rsidRDefault="00C75A27">
            <w:pPr>
              <w:keepNext/>
            </w:pPr>
          </w:p>
        </w:tc>
        <w:tc>
          <w:tcPr>
            <w:tcW w:w="1928" w:type="dxa"/>
            <w:tcBorders>
              <w:bottom w:val="single" w:sz="4" w:space="0" w:color="D9D9D9"/>
            </w:tcBorders>
          </w:tcPr>
          <w:p w14:paraId="04F33073" w14:textId="77777777" w:rsidR="00C75A27" w:rsidRDefault="00D4093E">
            <w:pPr>
              <w:keepNext/>
              <w:spacing w:before="40" w:after="40"/>
              <w:jc w:val="left"/>
            </w:pPr>
            <w:r>
              <w:rPr>
                <w:sz w:val="16"/>
              </w:rPr>
              <w:t>Unna Energía</w:t>
            </w:r>
          </w:p>
        </w:tc>
        <w:tc>
          <w:tcPr>
            <w:tcW w:w="907" w:type="dxa"/>
            <w:tcBorders>
              <w:bottom w:val="single" w:sz="4" w:space="0" w:color="D9D9D9"/>
            </w:tcBorders>
          </w:tcPr>
          <w:p w14:paraId="00964E2C" w14:textId="77777777" w:rsidR="00C75A27" w:rsidRDefault="00D4093E">
            <w:pPr>
              <w:keepNext/>
              <w:spacing w:before="40" w:after="40"/>
              <w:jc w:val="left"/>
            </w:pPr>
            <w:r>
              <w:rPr>
                <w:sz w:val="16"/>
              </w:rPr>
              <w:t>Lima</w:t>
            </w:r>
          </w:p>
        </w:tc>
        <w:tc>
          <w:tcPr>
            <w:tcW w:w="2608" w:type="dxa"/>
            <w:tcBorders>
              <w:bottom w:val="single" w:sz="4" w:space="0" w:color="D9D9D9"/>
            </w:tcBorders>
          </w:tcPr>
          <w:p w14:paraId="2141AFC6" w14:textId="77777777" w:rsidR="00C75A27" w:rsidRPr="003E0D14" w:rsidRDefault="00D4093E">
            <w:pPr>
              <w:keepNext/>
              <w:spacing w:before="40" w:after="40"/>
              <w:jc w:val="left"/>
              <w:rPr>
                <w:lang w:val="es-PE"/>
              </w:rPr>
            </w:pPr>
            <w:r w:rsidRPr="003E0D14">
              <w:rPr>
                <w:sz w:val="16"/>
                <w:lang w:val="es-PE"/>
              </w:rPr>
              <w:t>Lotes III y IV, Talara (Piura)</w:t>
            </w:r>
          </w:p>
        </w:tc>
        <w:tc>
          <w:tcPr>
            <w:tcW w:w="1587" w:type="dxa"/>
            <w:tcBorders>
              <w:bottom w:val="single" w:sz="4" w:space="0" w:color="D9D9D9"/>
            </w:tcBorders>
          </w:tcPr>
          <w:p w14:paraId="700104D6" w14:textId="77777777" w:rsidR="00C75A27" w:rsidRDefault="00D4093E">
            <w:pPr>
              <w:keepNext/>
              <w:spacing w:before="40" w:after="40"/>
              <w:jc w:val="left"/>
            </w:pPr>
            <w:r>
              <w:rPr>
                <w:sz w:val="16"/>
              </w:rPr>
              <w:t>www.unnaenergia.com.pe</w:t>
            </w:r>
          </w:p>
        </w:tc>
      </w:tr>
      <w:tr w:rsidR="00C75A27" w14:paraId="49A7838D" w14:textId="77777777">
        <w:trPr>
          <w:cantSplit/>
          <w:jc w:val="center"/>
        </w:trPr>
        <w:tc>
          <w:tcPr>
            <w:tcW w:w="1474" w:type="dxa"/>
            <w:vMerge/>
            <w:tcBorders>
              <w:bottom w:val="single" w:sz="4" w:space="0" w:color="D9D9D9"/>
            </w:tcBorders>
          </w:tcPr>
          <w:p w14:paraId="5684A5D1" w14:textId="77777777" w:rsidR="00C75A27" w:rsidRDefault="00C75A27">
            <w:pPr>
              <w:keepNext/>
            </w:pPr>
          </w:p>
        </w:tc>
        <w:tc>
          <w:tcPr>
            <w:tcW w:w="1928" w:type="dxa"/>
            <w:tcBorders>
              <w:bottom w:val="single" w:sz="4" w:space="0" w:color="D9D9D9"/>
            </w:tcBorders>
          </w:tcPr>
          <w:p w14:paraId="39DA37BD" w14:textId="77777777" w:rsidR="00C75A27" w:rsidRDefault="00D4093E">
            <w:pPr>
              <w:keepNext/>
              <w:spacing w:before="40" w:after="40"/>
              <w:jc w:val="left"/>
            </w:pPr>
            <w:r>
              <w:rPr>
                <w:sz w:val="16"/>
              </w:rPr>
              <w:t>Olympic Perú</w:t>
            </w:r>
          </w:p>
        </w:tc>
        <w:tc>
          <w:tcPr>
            <w:tcW w:w="907" w:type="dxa"/>
            <w:tcBorders>
              <w:bottom w:val="single" w:sz="4" w:space="0" w:color="D9D9D9"/>
            </w:tcBorders>
          </w:tcPr>
          <w:p w14:paraId="03992E52" w14:textId="77777777" w:rsidR="00C75A27" w:rsidRDefault="00D4093E">
            <w:pPr>
              <w:keepNext/>
              <w:spacing w:before="40" w:after="40"/>
              <w:jc w:val="left"/>
            </w:pPr>
            <w:r>
              <w:rPr>
                <w:sz w:val="16"/>
              </w:rPr>
              <w:t>Piura</w:t>
            </w:r>
          </w:p>
        </w:tc>
        <w:tc>
          <w:tcPr>
            <w:tcW w:w="2608" w:type="dxa"/>
            <w:tcBorders>
              <w:bottom w:val="single" w:sz="4" w:space="0" w:color="D9D9D9"/>
            </w:tcBorders>
          </w:tcPr>
          <w:p w14:paraId="2692BF68" w14:textId="77777777" w:rsidR="00C75A27" w:rsidRDefault="00D4093E">
            <w:pPr>
              <w:keepNext/>
              <w:spacing w:before="40" w:after="40"/>
              <w:jc w:val="left"/>
            </w:pPr>
            <w:r>
              <w:rPr>
                <w:sz w:val="16"/>
              </w:rPr>
              <w:t>Fortunato Chirichigno 351, Piura</w:t>
            </w:r>
          </w:p>
        </w:tc>
        <w:tc>
          <w:tcPr>
            <w:tcW w:w="1587" w:type="dxa"/>
            <w:tcBorders>
              <w:bottom w:val="single" w:sz="4" w:space="0" w:color="D9D9D9"/>
            </w:tcBorders>
          </w:tcPr>
          <w:p w14:paraId="66C5B46C" w14:textId="77777777" w:rsidR="00C75A27" w:rsidRDefault="00D4093E">
            <w:pPr>
              <w:keepNext/>
              <w:spacing w:before="40" w:after="40"/>
              <w:jc w:val="left"/>
            </w:pPr>
            <w:r>
              <w:rPr>
                <w:sz w:val="16"/>
              </w:rPr>
              <w:t>—</w:t>
            </w:r>
          </w:p>
        </w:tc>
      </w:tr>
      <w:tr w:rsidR="00C75A27" w14:paraId="70FC4D6F" w14:textId="77777777">
        <w:trPr>
          <w:cantSplit/>
          <w:jc w:val="center"/>
        </w:trPr>
        <w:tc>
          <w:tcPr>
            <w:tcW w:w="1474" w:type="dxa"/>
            <w:vMerge/>
            <w:tcBorders>
              <w:bottom w:val="single" w:sz="4" w:space="0" w:color="D9D9D9"/>
            </w:tcBorders>
          </w:tcPr>
          <w:p w14:paraId="3A6E9CC7" w14:textId="77777777" w:rsidR="00C75A27" w:rsidRDefault="00C75A27">
            <w:pPr>
              <w:keepNext/>
            </w:pPr>
          </w:p>
        </w:tc>
        <w:tc>
          <w:tcPr>
            <w:tcW w:w="1928" w:type="dxa"/>
            <w:tcBorders>
              <w:bottom w:val="single" w:sz="4" w:space="0" w:color="D9D9D9"/>
            </w:tcBorders>
          </w:tcPr>
          <w:p w14:paraId="40814EFE" w14:textId="77777777" w:rsidR="00C75A27" w:rsidRDefault="00D4093E">
            <w:pPr>
              <w:keepNext/>
              <w:spacing w:before="40" w:after="40"/>
              <w:jc w:val="left"/>
            </w:pPr>
            <w:r>
              <w:rPr>
                <w:sz w:val="16"/>
              </w:rPr>
              <w:t>Aguaytía Energy</w:t>
            </w:r>
          </w:p>
        </w:tc>
        <w:tc>
          <w:tcPr>
            <w:tcW w:w="907" w:type="dxa"/>
            <w:tcBorders>
              <w:bottom w:val="single" w:sz="4" w:space="0" w:color="D9D9D9"/>
            </w:tcBorders>
          </w:tcPr>
          <w:p w14:paraId="3BC031CD" w14:textId="77777777" w:rsidR="00C75A27" w:rsidRDefault="00D4093E">
            <w:pPr>
              <w:keepNext/>
              <w:spacing w:before="40" w:after="40"/>
              <w:jc w:val="left"/>
            </w:pPr>
            <w:r>
              <w:rPr>
                <w:sz w:val="16"/>
              </w:rPr>
              <w:t>Lima</w:t>
            </w:r>
          </w:p>
        </w:tc>
        <w:tc>
          <w:tcPr>
            <w:tcW w:w="2608" w:type="dxa"/>
            <w:tcBorders>
              <w:bottom w:val="single" w:sz="4" w:space="0" w:color="D9D9D9"/>
            </w:tcBorders>
          </w:tcPr>
          <w:p w14:paraId="574362E8" w14:textId="77777777" w:rsidR="00C75A27" w:rsidRPr="003E0D14" w:rsidRDefault="00D4093E">
            <w:pPr>
              <w:keepNext/>
              <w:spacing w:before="40" w:after="40"/>
              <w:jc w:val="left"/>
              <w:rPr>
                <w:lang w:val="es-PE"/>
              </w:rPr>
            </w:pPr>
            <w:r w:rsidRPr="003E0D14">
              <w:rPr>
                <w:sz w:val="16"/>
                <w:lang w:val="es-PE"/>
              </w:rPr>
              <w:t>Av. Dionisio Derteano 144, piso 19, San Isidro</w:t>
            </w:r>
          </w:p>
        </w:tc>
        <w:tc>
          <w:tcPr>
            <w:tcW w:w="1587" w:type="dxa"/>
            <w:tcBorders>
              <w:bottom w:val="single" w:sz="4" w:space="0" w:color="D9D9D9"/>
            </w:tcBorders>
          </w:tcPr>
          <w:p w14:paraId="4F364B87" w14:textId="77777777" w:rsidR="00C75A27" w:rsidRDefault="00D4093E">
            <w:pPr>
              <w:keepNext/>
              <w:spacing w:before="40" w:after="40"/>
              <w:jc w:val="left"/>
            </w:pPr>
            <w:r>
              <w:rPr>
                <w:sz w:val="16"/>
              </w:rPr>
              <w:t>—</w:t>
            </w:r>
          </w:p>
        </w:tc>
      </w:tr>
      <w:tr w:rsidR="00C75A27" w14:paraId="0C104C09" w14:textId="77777777">
        <w:trPr>
          <w:cantSplit/>
          <w:jc w:val="center"/>
        </w:trPr>
        <w:tc>
          <w:tcPr>
            <w:tcW w:w="1474" w:type="dxa"/>
            <w:vMerge w:val="restart"/>
            <w:tcBorders>
              <w:bottom w:val="single" w:sz="4" w:space="0" w:color="D9D9D9"/>
            </w:tcBorders>
          </w:tcPr>
          <w:p w14:paraId="1A33A1E6" w14:textId="77777777" w:rsidR="00C75A27" w:rsidRDefault="00D4093E">
            <w:pPr>
              <w:keepNext/>
              <w:spacing w:before="40" w:after="40"/>
              <w:jc w:val="left"/>
            </w:pPr>
            <w:r>
              <w:rPr>
                <w:sz w:val="16"/>
              </w:rPr>
              <w:t>Transporte y licuefacción</w:t>
            </w:r>
          </w:p>
        </w:tc>
        <w:tc>
          <w:tcPr>
            <w:tcW w:w="1928" w:type="dxa"/>
            <w:tcBorders>
              <w:bottom w:val="single" w:sz="4" w:space="0" w:color="D9D9D9"/>
            </w:tcBorders>
          </w:tcPr>
          <w:p w14:paraId="49D6B0B9" w14:textId="77777777" w:rsidR="00C75A27" w:rsidRPr="003E0D14" w:rsidRDefault="00D4093E">
            <w:pPr>
              <w:keepNext/>
              <w:spacing w:before="40" w:after="40"/>
              <w:jc w:val="left"/>
              <w:rPr>
                <w:lang w:val="es-PE"/>
              </w:rPr>
            </w:pPr>
            <w:r w:rsidRPr="003E0D14">
              <w:rPr>
                <w:sz w:val="16"/>
                <w:lang w:val="es-PE"/>
              </w:rPr>
              <w:t>Transportadora de Gas del Perú (TGP)</w:t>
            </w:r>
          </w:p>
        </w:tc>
        <w:tc>
          <w:tcPr>
            <w:tcW w:w="907" w:type="dxa"/>
            <w:tcBorders>
              <w:bottom w:val="single" w:sz="4" w:space="0" w:color="D9D9D9"/>
            </w:tcBorders>
          </w:tcPr>
          <w:p w14:paraId="4C467D93" w14:textId="77777777" w:rsidR="00C75A27" w:rsidRDefault="00D4093E">
            <w:pPr>
              <w:keepNext/>
              <w:spacing w:before="40" w:after="40"/>
              <w:jc w:val="left"/>
            </w:pPr>
            <w:r>
              <w:rPr>
                <w:sz w:val="16"/>
              </w:rPr>
              <w:t>Lima</w:t>
            </w:r>
          </w:p>
        </w:tc>
        <w:tc>
          <w:tcPr>
            <w:tcW w:w="2608" w:type="dxa"/>
            <w:tcBorders>
              <w:bottom w:val="single" w:sz="4" w:space="0" w:color="D9D9D9"/>
            </w:tcBorders>
          </w:tcPr>
          <w:p w14:paraId="474C5E79" w14:textId="77777777" w:rsidR="00C75A27" w:rsidRPr="003E0D14" w:rsidRDefault="00D4093E">
            <w:pPr>
              <w:keepNext/>
              <w:spacing w:before="40" w:after="40"/>
              <w:jc w:val="left"/>
              <w:rPr>
                <w:lang w:val="es-PE"/>
              </w:rPr>
            </w:pPr>
            <w:r w:rsidRPr="003E0D14">
              <w:rPr>
                <w:sz w:val="16"/>
                <w:lang w:val="es-PE"/>
              </w:rPr>
              <w:t>Av. Víctor Andrés Belaúnde 147, San Isidro</w:t>
            </w:r>
          </w:p>
        </w:tc>
        <w:tc>
          <w:tcPr>
            <w:tcW w:w="1587" w:type="dxa"/>
            <w:tcBorders>
              <w:bottom w:val="single" w:sz="4" w:space="0" w:color="D9D9D9"/>
            </w:tcBorders>
          </w:tcPr>
          <w:p w14:paraId="57D11B47" w14:textId="77777777" w:rsidR="00C75A27" w:rsidRDefault="00D4093E">
            <w:pPr>
              <w:keepNext/>
              <w:spacing w:before="40" w:after="40"/>
              <w:jc w:val="left"/>
            </w:pPr>
            <w:r>
              <w:rPr>
                <w:sz w:val="16"/>
              </w:rPr>
              <w:t>www.tgp.com.pe</w:t>
            </w:r>
          </w:p>
        </w:tc>
      </w:tr>
      <w:tr w:rsidR="00C75A27" w14:paraId="273502B4" w14:textId="77777777">
        <w:trPr>
          <w:cantSplit/>
          <w:jc w:val="center"/>
        </w:trPr>
        <w:tc>
          <w:tcPr>
            <w:tcW w:w="1474" w:type="dxa"/>
            <w:vMerge/>
            <w:tcBorders>
              <w:bottom w:val="single" w:sz="4" w:space="0" w:color="D9D9D9"/>
            </w:tcBorders>
          </w:tcPr>
          <w:p w14:paraId="6841B58E" w14:textId="77777777" w:rsidR="00C75A27" w:rsidRDefault="00C75A27">
            <w:pPr>
              <w:keepNext/>
            </w:pPr>
          </w:p>
        </w:tc>
        <w:tc>
          <w:tcPr>
            <w:tcW w:w="1928" w:type="dxa"/>
            <w:tcBorders>
              <w:bottom w:val="single" w:sz="4" w:space="0" w:color="D9D9D9"/>
            </w:tcBorders>
          </w:tcPr>
          <w:p w14:paraId="3BDF02F2" w14:textId="77777777" w:rsidR="00C75A27" w:rsidRDefault="00D4093E">
            <w:pPr>
              <w:keepNext/>
              <w:spacing w:before="40" w:after="40"/>
              <w:jc w:val="left"/>
            </w:pPr>
            <w:r>
              <w:rPr>
                <w:sz w:val="16"/>
              </w:rPr>
              <w:t>Perú LNG</w:t>
            </w:r>
          </w:p>
        </w:tc>
        <w:tc>
          <w:tcPr>
            <w:tcW w:w="907" w:type="dxa"/>
            <w:tcBorders>
              <w:bottom w:val="single" w:sz="4" w:space="0" w:color="D9D9D9"/>
            </w:tcBorders>
          </w:tcPr>
          <w:p w14:paraId="7580C924" w14:textId="77777777" w:rsidR="00C75A27" w:rsidRDefault="00D4093E">
            <w:pPr>
              <w:keepNext/>
              <w:spacing w:before="40" w:after="40"/>
              <w:jc w:val="left"/>
            </w:pPr>
            <w:r>
              <w:rPr>
                <w:sz w:val="16"/>
              </w:rPr>
              <w:t>Lima</w:t>
            </w:r>
          </w:p>
        </w:tc>
        <w:tc>
          <w:tcPr>
            <w:tcW w:w="2608" w:type="dxa"/>
            <w:tcBorders>
              <w:bottom w:val="single" w:sz="4" w:space="0" w:color="D9D9D9"/>
            </w:tcBorders>
          </w:tcPr>
          <w:p w14:paraId="68B15200" w14:textId="77777777" w:rsidR="00C75A27" w:rsidRPr="003E0D14" w:rsidRDefault="00D4093E">
            <w:pPr>
              <w:keepNext/>
              <w:spacing w:before="40" w:after="40"/>
              <w:jc w:val="left"/>
              <w:rPr>
                <w:lang w:val="es-PE"/>
              </w:rPr>
            </w:pPr>
            <w:r w:rsidRPr="003E0D14">
              <w:rPr>
                <w:sz w:val="16"/>
                <w:lang w:val="es-PE"/>
              </w:rPr>
              <w:t>Planta de Pampa Melchorita, Cañete</w:t>
            </w:r>
          </w:p>
        </w:tc>
        <w:tc>
          <w:tcPr>
            <w:tcW w:w="1587" w:type="dxa"/>
            <w:tcBorders>
              <w:bottom w:val="single" w:sz="4" w:space="0" w:color="D9D9D9"/>
            </w:tcBorders>
          </w:tcPr>
          <w:p w14:paraId="75A3C7CD" w14:textId="77777777" w:rsidR="00C75A27" w:rsidRDefault="00D4093E">
            <w:pPr>
              <w:keepNext/>
              <w:spacing w:before="40" w:after="40"/>
              <w:jc w:val="left"/>
            </w:pPr>
            <w:r>
              <w:rPr>
                <w:sz w:val="16"/>
              </w:rPr>
              <w:t>www.perulng.com</w:t>
            </w:r>
          </w:p>
        </w:tc>
      </w:tr>
      <w:tr w:rsidR="00C75A27" w14:paraId="289CB7F2" w14:textId="77777777">
        <w:trPr>
          <w:cantSplit/>
          <w:jc w:val="center"/>
        </w:trPr>
        <w:tc>
          <w:tcPr>
            <w:tcW w:w="1474" w:type="dxa"/>
            <w:vMerge w:val="restart"/>
            <w:tcBorders>
              <w:bottom w:val="single" w:sz="4" w:space="0" w:color="D9D9D9"/>
            </w:tcBorders>
          </w:tcPr>
          <w:p w14:paraId="37B5775A" w14:textId="77777777" w:rsidR="00C75A27" w:rsidRDefault="00D4093E">
            <w:pPr>
              <w:keepNext/>
              <w:spacing w:before="40" w:after="40"/>
              <w:jc w:val="left"/>
            </w:pPr>
            <w:r>
              <w:rPr>
                <w:sz w:val="16"/>
              </w:rPr>
              <w:t>Entidades</w:t>
            </w:r>
          </w:p>
        </w:tc>
        <w:tc>
          <w:tcPr>
            <w:tcW w:w="1928" w:type="dxa"/>
            <w:tcBorders>
              <w:bottom w:val="single" w:sz="4" w:space="0" w:color="D9D9D9"/>
            </w:tcBorders>
          </w:tcPr>
          <w:p w14:paraId="47B087DE" w14:textId="77777777" w:rsidR="00C75A27" w:rsidRPr="003E0D14" w:rsidRDefault="00D4093E">
            <w:pPr>
              <w:keepNext/>
              <w:spacing w:before="40" w:after="40"/>
              <w:jc w:val="left"/>
              <w:rPr>
                <w:lang w:val="es-PE"/>
              </w:rPr>
            </w:pPr>
            <w:r w:rsidRPr="003E0D14">
              <w:rPr>
                <w:sz w:val="16"/>
                <w:lang w:val="es-PE"/>
              </w:rPr>
              <w:t>Ministerio de Energía y Minas</w:t>
            </w:r>
          </w:p>
        </w:tc>
        <w:tc>
          <w:tcPr>
            <w:tcW w:w="907" w:type="dxa"/>
            <w:tcBorders>
              <w:bottom w:val="single" w:sz="4" w:space="0" w:color="D9D9D9"/>
            </w:tcBorders>
          </w:tcPr>
          <w:p w14:paraId="5A593720" w14:textId="77777777" w:rsidR="00C75A27" w:rsidRDefault="00D4093E">
            <w:pPr>
              <w:keepNext/>
              <w:spacing w:before="40" w:after="40"/>
              <w:jc w:val="left"/>
            </w:pPr>
            <w:r>
              <w:rPr>
                <w:sz w:val="16"/>
              </w:rPr>
              <w:t>Lima</w:t>
            </w:r>
          </w:p>
        </w:tc>
        <w:tc>
          <w:tcPr>
            <w:tcW w:w="2608" w:type="dxa"/>
            <w:tcBorders>
              <w:bottom w:val="single" w:sz="4" w:space="0" w:color="D9D9D9"/>
            </w:tcBorders>
          </w:tcPr>
          <w:p w14:paraId="2BA49A8C" w14:textId="77777777" w:rsidR="00C75A27" w:rsidRPr="003E0D14" w:rsidRDefault="00D4093E">
            <w:pPr>
              <w:keepNext/>
              <w:spacing w:before="40" w:after="40"/>
              <w:jc w:val="left"/>
              <w:rPr>
                <w:lang w:val="es-PE"/>
              </w:rPr>
            </w:pPr>
            <w:r w:rsidRPr="003E0D14">
              <w:rPr>
                <w:sz w:val="16"/>
                <w:lang w:val="es-PE"/>
              </w:rPr>
              <w:t>Av. Las Artes Sur 260, San Borja</w:t>
            </w:r>
          </w:p>
        </w:tc>
        <w:tc>
          <w:tcPr>
            <w:tcW w:w="1587" w:type="dxa"/>
            <w:tcBorders>
              <w:bottom w:val="single" w:sz="4" w:space="0" w:color="D9D9D9"/>
            </w:tcBorders>
          </w:tcPr>
          <w:p w14:paraId="64C9B11E" w14:textId="77777777" w:rsidR="00C75A27" w:rsidRDefault="00D4093E">
            <w:pPr>
              <w:keepNext/>
              <w:spacing w:before="40" w:after="40"/>
              <w:jc w:val="left"/>
            </w:pPr>
            <w:r>
              <w:rPr>
                <w:sz w:val="16"/>
              </w:rPr>
              <w:t>www.gob.pe/minem</w:t>
            </w:r>
          </w:p>
        </w:tc>
      </w:tr>
      <w:tr w:rsidR="00C75A27" w14:paraId="75AC2D3C" w14:textId="77777777">
        <w:trPr>
          <w:cantSplit/>
          <w:jc w:val="center"/>
        </w:trPr>
        <w:tc>
          <w:tcPr>
            <w:tcW w:w="1474" w:type="dxa"/>
            <w:vMerge/>
            <w:tcBorders>
              <w:bottom w:val="single" w:sz="4" w:space="0" w:color="D9D9D9"/>
            </w:tcBorders>
          </w:tcPr>
          <w:p w14:paraId="1F4995E8" w14:textId="77777777" w:rsidR="00C75A27" w:rsidRDefault="00C75A27">
            <w:pPr>
              <w:keepNext/>
            </w:pPr>
          </w:p>
        </w:tc>
        <w:tc>
          <w:tcPr>
            <w:tcW w:w="1928" w:type="dxa"/>
            <w:tcBorders>
              <w:bottom w:val="single" w:sz="4" w:space="0" w:color="D9D9D9"/>
            </w:tcBorders>
          </w:tcPr>
          <w:p w14:paraId="6508BAB3" w14:textId="77777777" w:rsidR="00C75A27" w:rsidRDefault="00D4093E">
            <w:pPr>
              <w:keepNext/>
              <w:spacing w:before="40" w:after="40"/>
              <w:jc w:val="left"/>
            </w:pPr>
            <w:r>
              <w:rPr>
                <w:sz w:val="16"/>
              </w:rPr>
              <w:t>Osinergmin</w:t>
            </w:r>
          </w:p>
        </w:tc>
        <w:tc>
          <w:tcPr>
            <w:tcW w:w="907" w:type="dxa"/>
            <w:tcBorders>
              <w:bottom w:val="single" w:sz="4" w:space="0" w:color="D9D9D9"/>
            </w:tcBorders>
          </w:tcPr>
          <w:p w14:paraId="1AEF4191" w14:textId="77777777" w:rsidR="00C75A27" w:rsidRDefault="00D4093E">
            <w:pPr>
              <w:keepNext/>
              <w:spacing w:before="40" w:after="40"/>
              <w:jc w:val="left"/>
            </w:pPr>
            <w:r>
              <w:rPr>
                <w:sz w:val="16"/>
              </w:rPr>
              <w:t>Lima</w:t>
            </w:r>
          </w:p>
        </w:tc>
        <w:tc>
          <w:tcPr>
            <w:tcW w:w="2608" w:type="dxa"/>
            <w:tcBorders>
              <w:bottom w:val="single" w:sz="4" w:space="0" w:color="D9D9D9"/>
            </w:tcBorders>
          </w:tcPr>
          <w:p w14:paraId="67B317AA" w14:textId="77777777" w:rsidR="00C75A27" w:rsidRPr="003E0D14" w:rsidRDefault="00D4093E">
            <w:pPr>
              <w:keepNext/>
              <w:spacing w:before="40" w:after="40"/>
              <w:jc w:val="left"/>
              <w:rPr>
                <w:lang w:val="es-PE"/>
              </w:rPr>
            </w:pPr>
            <w:r w:rsidRPr="003E0D14">
              <w:rPr>
                <w:sz w:val="16"/>
                <w:lang w:val="es-PE"/>
              </w:rPr>
              <w:t>Bernardo Monteagudo 222, Magdalena del Mar</w:t>
            </w:r>
          </w:p>
        </w:tc>
        <w:tc>
          <w:tcPr>
            <w:tcW w:w="1587" w:type="dxa"/>
            <w:tcBorders>
              <w:bottom w:val="single" w:sz="4" w:space="0" w:color="D9D9D9"/>
            </w:tcBorders>
          </w:tcPr>
          <w:p w14:paraId="5C9FB33E" w14:textId="77777777" w:rsidR="00C75A27" w:rsidRDefault="00D4093E">
            <w:pPr>
              <w:keepNext/>
              <w:spacing w:before="40" w:after="40"/>
              <w:jc w:val="left"/>
            </w:pPr>
            <w:r>
              <w:rPr>
                <w:sz w:val="16"/>
              </w:rPr>
              <w:t>www.osinergmin.gob.pe</w:t>
            </w:r>
          </w:p>
        </w:tc>
      </w:tr>
      <w:tr w:rsidR="00C75A27" w14:paraId="3BD76F8F" w14:textId="77777777">
        <w:trPr>
          <w:cantSplit/>
          <w:jc w:val="center"/>
        </w:trPr>
        <w:tc>
          <w:tcPr>
            <w:tcW w:w="1474" w:type="dxa"/>
            <w:vMerge/>
            <w:tcBorders>
              <w:bottom w:val="single" w:sz="4" w:space="0" w:color="D9D9D9"/>
            </w:tcBorders>
          </w:tcPr>
          <w:p w14:paraId="69503D39" w14:textId="77777777" w:rsidR="00C75A27" w:rsidRDefault="00C75A27">
            <w:pPr>
              <w:keepNext/>
            </w:pPr>
          </w:p>
        </w:tc>
        <w:tc>
          <w:tcPr>
            <w:tcW w:w="1928" w:type="dxa"/>
            <w:tcBorders>
              <w:bottom w:val="single" w:sz="4" w:space="0" w:color="D9D9D9"/>
            </w:tcBorders>
          </w:tcPr>
          <w:p w14:paraId="4649993C" w14:textId="77777777" w:rsidR="00C75A27" w:rsidRDefault="00D4093E">
            <w:pPr>
              <w:keepNext/>
              <w:spacing w:before="40" w:after="40"/>
              <w:jc w:val="left"/>
            </w:pPr>
            <w:r>
              <w:rPr>
                <w:sz w:val="16"/>
              </w:rPr>
              <w:t>Perupetro</w:t>
            </w:r>
          </w:p>
        </w:tc>
        <w:tc>
          <w:tcPr>
            <w:tcW w:w="907" w:type="dxa"/>
            <w:tcBorders>
              <w:bottom w:val="single" w:sz="4" w:space="0" w:color="D9D9D9"/>
            </w:tcBorders>
          </w:tcPr>
          <w:p w14:paraId="1088715C" w14:textId="77777777" w:rsidR="00C75A27" w:rsidRDefault="00D4093E">
            <w:pPr>
              <w:keepNext/>
              <w:spacing w:before="40" w:after="40"/>
              <w:jc w:val="left"/>
            </w:pPr>
            <w:r>
              <w:rPr>
                <w:sz w:val="16"/>
              </w:rPr>
              <w:t>Lima</w:t>
            </w:r>
          </w:p>
        </w:tc>
        <w:tc>
          <w:tcPr>
            <w:tcW w:w="2608" w:type="dxa"/>
            <w:tcBorders>
              <w:bottom w:val="single" w:sz="4" w:space="0" w:color="D9D9D9"/>
            </w:tcBorders>
          </w:tcPr>
          <w:p w14:paraId="5D7192BD" w14:textId="77777777" w:rsidR="00C75A27" w:rsidRPr="003E0D14" w:rsidRDefault="00D4093E">
            <w:pPr>
              <w:keepNext/>
              <w:spacing w:before="40" w:after="40"/>
              <w:jc w:val="left"/>
              <w:rPr>
                <w:lang w:val="es-PE"/>
              </w:rPr>
            </w:pPr>
            <w:r w:rsidRPr="003E0D14">
              <w:rPr>
                <w:sz w:val="16"/>
                <w:lang w:val="es-PE"/>
              </w:rPr>
              <w:t>Av. Luis Aldana 320, San Borja</w:t>
            </w:r>
          </w:p>
        </w:tc>
        <w:tc>
          <w:tcPr>
            <w:tcW w:w="1587" w:type="dxa"/>
            <w:tcBorders>
              <w:bottom w:val="single" w:sz="4" w:space="0" w:color="D9D9D9"/>
            </w:tcBorders>
          </w:tcPr>
          <w:p w14:paraId="69173EF7" w14:textId="77777777" w:rsidR="00C75A27" w:rsidRDefault="00D4093E">
            <w:pPr>
              <w:keepNext/>
              <w:spacing w:before="40" w:after="40"/>
              <w:jc w:val="left"/>
            </w:pPr>
            <w:r>
              <w:rPr>
                <w:sz w:val="16"/>
              </w:rPr>
              <w:t>www.perupetro.com.pe</w:t>
            </w:r>
          </w:p>
        </w:tc>
      </w:tr>
      <w:tr w:rsidR="00C75A27" w14:paraId="04947A38" w14:textId="77777777">
        <w:trPr>
          <w:cantSplit/>
          <w:jc w:val="center"/>
        </w:trPr>
        <w:tc>
          <w:tcPr>
            <w:tcW w:w="1474" w:type="dxa"/>
            <w:vMerge/>
            <w:tcBorders>
              <w:bottom w:val="single" w:sz="4" w:space="0" w:color="D9D9D9"/>
            </w:tcBorders>
          </w:tcPr>
          <w:p w14:paraId="52DF9505" w14:textId="77777777" w:rsidR="00C75A27" w:rsidRDefault="00C75A27">
            <w:pPr>
              <w:keepNext/>
            </w:pPr>
          </w:p>
        </w:tc>
        <w:tc>
          <w:tcPr>
            <w:tcW w:w="1928" w:type="dxa"/>
            <w:tcBorders>
              <w:bottom w:val="single" w:sz="4" w:space="0" w:color="D9D9D9"/>
            </w:tcBorders>
          </w:tcPr>
          <w:p w14:paraId="6664B303" w14:textId="77777777" w:rsidR="00C75A27" w:rsidRDefault="00D4093E">
            <w:pPr>
              <w:keepNext/>
              <w:spacing w:before="40" w:after="40"/>
              <w:jc w:val="left"/>
            </w:pPr>
            <w:r>
              <w:rPr>
                <w:sz w:val="16"/>
              </w:rPr>
              <w:t>COES</w:t>
            </w:r>
          </w:p>
        </w:tc>
        <w:tc>
          <w:tcPr>
            <w:tcW w:w="907" w:type="dxa"/>
            <w:tcBorders>
              <w:bottom w:val="single" w:sz="4" w:space="0" w:color="D9D9D9"/>
            </w:tcBorders>
          </w:tcPr>
          <w:p w14:paraId="40345DE5" w14:textId="77777777" w:rsidR="00C75A27" w:rsidRDefault="00D4093E">
            <w:pPr>
              <w:keepNext/>
              <w:spacing w:before="40" w:after="40"/>
              <w:jc w:val="left"/>
            </w:pPr>
            <w:r>
              <w:rPr>
                <w:sz w:val="16"/>
              </w:rPr>
              <w:t>Lima</w:t>
            </w:r>
          </w:p>
        </w:tc>
        <w:tc>
          <w:tcPr>
            <w:tcW w:w="2608" w:type="dxa"/>
            <w:tcBorders>
              <w:bottom w:val="single" w:sz="4" w:space="0" w:color="D9D9D9"/>
            </w:tcBorders>
          </w:tcPr>
          <w:p w14:paraId="3402F1EF" w14:textId="77777777" w:rsidR="00C75A27" w:rsidRPr="003E0D14" w:rsidRDefault="00D4093E">
            <w:pPr>
              <w:keepNext/>
              <w:spacing w:before="40" w:after="40"/>
              <w:jc w:val="left"/>
              <w:rPr>
                <w:lang w:val="es-PE"/>
              </w:rPr>
            </w:pPr>
            <w:r w:rsidRPr="003E0D14">
              <w:rPr>
                <w:sz w:val="16"/>
                <w:lang w:val="es-PE"/>
              </w:rPr>
              <w:t>Av. Juan de Arona 720, San Isidro</w:t>
            </w:r>
          </w:p>
        </w:tc>
        <w:tc>
          <w:tcPr>
            <w:tcW w:w="1587" w:type="dxa"/>
            <w:tcBorders>
              <w:bottom w:val="single" w:sz="4" w:space="0" w:color="D9D9D9"/>
            </w:tcBorders>
          </w:tcPr>
          <w:p w14:paraId="70082C32" w14:textId="77777777" w:rsidR="00C75A27" w:rsidRDefault="00D4093E">
            <w:pPr>
              <w:keepNext/>
              <w:spacing w:before="40" w:after="40"/>
              <w:jc w:val="left"/>
            </w:pPr>
            <w:r>
              <w:rPr>
                <w:sz w:val="16"/>
              </w:rPr>
              <w:t>www.coes.org.pe</w:t>
            </w:r>
          </w:p>
        </w:tc>
      </w:tr>
      <w:tr w:rsidR="00C75A27" w14:paraId="0ED21E07" w14:textId="77777777">
        <w:trPr>
          <w:cantSplit/>
          <w:jc w:val="center"/>
        </w:trPr>
        <w:tc>
          <w:tcPr>
            <w:tcW w:w="1474" w:type="dxa"/>
            <w:vMerge/>
            <w:tcBorders>
              <w:bottom w:val="single" w:sz="4" w:space="0" w:color="D9D9D9"/>
            </w:tcBorders>
          </w:tcPr>
          <w:p w14:paraId="4F217A27" w14:textId="77777777" w:rsidR="00C75A27" w:rsidRDefault="00C75A27">
            <w:pPr>
              <w:keepNext/>
            </w:pPr>
          </w:p>
        </w:tc>
        <w:tc>
          <w:tcPr>
            <w:tcW w:w="1928" w:type="dxa"/>
            <w:tcBorders>
              <w:bottom w:val="single" w:sz="4" w:space="0" w:color="D9D9D9"/>
            </w:tcBorders>
          </w:tcPr>
          <w:p w14:paraId="525812C4" w14:textId="77777777" w:rsidR="00C75A27" w:rsidRDefault="00D4093E">
            <w:pPr>
              <w:keepNext/>
              <w:spacing w:before="40" w:after="40"/>
              <w:jc w:val="left"/>
            </w:pPr>
            <w:r>
              <w:rPr>
                <w:sz w:val="16"/>
              </w:rPr>
              <w:t>ProInversión</w:t>
            </w:r>
          </w:p>
        </w:tc>
        <w:tc>
          <w:tcPr>
            <w:tcW w:w="907" w:type="dxa"/>
            <w:tcBorders>
              <w:bottom w:val="single" w:sz="4" w:space="0" w:color="D9D9D9"/>
            </w:tcBorders>
          </w:tcPr>
          <w:p w14:paraId="17D4D8ED" w14:textId="77777777" w:rsidR="00C75A27" w:rsidRDefault="00D4093E">
            <w:pPr>
              <w:keepNext/>
              <w:spacing w:before="40" w:after="40"/>
              <w:jc w:val="left"/>
            </w:pPr>
            <w:r>
              <w:rPr>
                <w:sz w:val="16"/>
              </w:rPr>
              <w:t>Lima</w:t>
            </w:r>
          </w:p>
        </w:tc>
        <w:tc>
          <w:tcPr>
            <w:tcW w:w="2608" w:type="dxa"/>
            <w:tcBorders>
              <w:bottom w:val="single" w:sz="4" w:space="0" w:color="D9D9D9"/>
            </w:tcBorders>
          </w:tcPr>
          <w:p w14:paraId="5B92A8E7" w14:textId="77777777" w:rsidR="00C75A27" w:rsidRPr="003E0D14" w:rsidRDefault="00D4093E">
            <w:pPr>
              <w:keepNext/>
              <w:spacing w:before="40" w:after="40"/>
              <w:jc w:val="left"/>
              <w:rPr>
                <w:lang w:val="es-PE"/>
              </w:rPr>
            </w:pPr>
            <w:r w:rsidRPr="003E0D14">
              <w:rPr>
                <w:sz w:val="16"/>
                <w:lang w:val="es-PE"/>
              </w:rPr>
              <w:t>Av. Enrique Canaval Moreyra 150, San Isidro</w:t>
            </w:r>
          </w:p>
        </w:tc>
        <w:tc>
          <w:tcPr>
            <w:tcW w:w="1587" w:type="dxa"/>
            <w:tcBorders>
              <w:bottom w:val="single" w:sz="4" w:space="0" w:color="D9D9D9"/>
            </w:tcBorders>
          </w:tcPr>
          <w:p w14:paraId="24669796" w14:textId="77777777" w:rsidR="00C75A27" w:rsidRDefault="00D4093E">
            <w:pPr>
              <w:keepNext/>
              <w:spacing w:before="40" w:after="40"/>
              <w:jc w:val="left"/>
            </w:pPr>
            <w:r>
              <w:rPr>
                <w:sz w:val="16"/>
              </w:rPr>
              <w:t>www.gob.pe/proinversion</w:t>
            </w:r>
          </w:p>
        </w:tc>
      </w:tr>
    </w:tbl>
    <w:p w14:paraId="2DD69F6D" w14:textId="77777777" w:rsidR="00C75A27" w:rsidRDefault="00D4093E">
      <w:pPr>
        <w:pStyle w:val="Ttulo2"/>
      </w:pPr>
      <w:bookmarkStart w:id="63" w:name="_Idx_8_3"/>
      <w:r>
        <w:t>8.3. Bibliografía</w:t>
      </w:r>
      <w:bookmarkEnd w:id="63"/>
    </w:p>
    <w:p w14:paraId="1DAEEADF" w14:textId="77777777" w:rsidR="00C75A27" w:rsidRDefault="00D4093E">
      <w:pPr>
        <w:keepNext/>
        <w:keepLines/>
        <w:spacing w:before="160" w:after="40"/>
      </w:pPr>
      <w:r>
        <w:rPr>
          <w:b/>
          <w:color w:val="15607F"/>
          <w:sz w:val="19"/>
        </w:rPr>
        <w:t>Organismos y entidades del sector</w:t>
      </w:r>
    </w:p>
    <w:p w14:paraId="5A75316C" w14:textId="77777777" w:rsidR="00C75A27" w:rsidRPr="003E0D14" w:rsidRDefault="00D4093E">
      <w:pPr>
        <w:pStyle w:val="Listaconvietas"/>
        <w:keepNext/>
        <w:keepLines/>
        <w:spacing w:after="0"/>
        <w:rPr>
          <w:lang w:val="es-PE"/>
        </w:rPr>
      </w:pPr>
      <w:r w:rsidRPr="003E0D14">
        <w:rPr>
          <w:sz w:val="18"/>
          <w:lang w:val="es-PE"/>
        </w:rPr>
        <w:t>Ministerio de Energía y Minas (Minem). Anuario estadístico de hidrocarburos y libro de reservas y recursos de hidrocarburos.</w:t>
      </w:r>
    </w:p>
    <w:p w14:paraId="5CF5CFDA" w14:textId="77777777" w:rsidR="00C75A27" w:rsidRPr="003E0D14" w:rsidRDefault="00D4093E">
      <w:pPr>
        <w:pStyle w:val="Listaconvietas"/>
        <w:keepLines/>
        <w:spacing w:after="0"/>
        <w:rPr>
          <w:lang w:val="es-PE"/>
        </w:rPr>
      </w:pPr>
      <w:r w:rsidRPr="003E0D14">
        <w:rPr>
          <w:sz w:val="18"/>
          <w:lang w:val="es-PE"/>
        </w:rPr>
        <w:t>Osinergmin. Pliegos tarifarios de distribución de gas natural y resoluciones de fijación tarifaria.</w:t>
      </w:r>
    </w:p>
    <w:p w14:paraId="5D33D34F" w14:textId="77777777" w:rsidR="00C75A27" w:rsidRPr="003E0D14" w:rsidRDefault="00D4093E">
      <w:pPr>
        <w:pStyle w:val="Listaconvietas"/>
        <w:keepLines/>
        <w:spacing w:after="0"/>
        <w:rPr>
          <w:lang w:val="es-PE"/>
        </w:rPr>
      </w:pPr>
      <w:r w:rsidRPr="003E0D14">
        <w:rPr>
          <w:sz w:val="18"/>
          <w:lang w:val="es-PE"/>
        </w:rPr>
        <w:t>Perupetro. Estadísticas de producción, contratos y actividad exploratoria.</w:t>
      </w:r>
    </w:p>
    <w:p w14:paraId="283E53DE" w14:textId="43F1A60D" w:rsidR="00C75A27" w:rsidRPr="003E0D14" w:rsidRDefault="00D4093E">
      <w:pPr>
        <w:pStyle w:val="Listaconvietas"/>
        <w:keepLines/>
        <w:spacing w:after="0"/>
        <w:rPr>
          <w:lang w:val="es-PE"/>
        </w:rPr>
      </w:pPr>
      <w:r w:rsidRPr="003E0D14">
        <w:rPr>
          <w:sz w:val="18"/>
          <w:lang w:val="es-PE"/>
        </w:rPr>
        <w:t>Comité de Operación Económica del Sistema Interconectado Nacional (COES). Estadísticas de operación del Sistema Eléctrico Interconectado Nacional.</w:t>
      </w:r>
    </w:p>
    <w:p w14:paraId="7A244123" w14:textId="287C1B63" w:rsidR="00C75A27" w:rsidRPr="003E0D14" w:rsidRDefault="00D4093E">
      <w:pPr>
        <w:pStyle w:val="Listaconvietas"/>
        <w:keepLines/>
        <w:spacing w:after="0"/>
        <w:rPr>
          <w:lang w:val="es-PE"/>
        </w:rPr>
      </w:pPr>
      <w:r w:rsidRPr="003E0D14">
        <w:rPr>
          <w:sz w:val="18"/>
          <w:lang w:val="es-PE"/>
        </w:rPr>
        <w:t xml:space="preserve">Comisión Multisectorial encargada del Estudio Nacional del Fenómeno El Niño (ENFEN). Comunicados oficiales sobre el estado del </w:t>
      </w:r>
      <w:r>
        <w:rPr>
          <w:sz w:val="18"/>
          <w:lang w:val="es-PE"/>
        </w:rPr>
        <w:t>f</w:t>
      </w:r>
      <w:r w:rsidRPr="003E0D14">
        <w:rPr>
          <w:sz w:val="18"/>
          <w:lang w:val="es-PE"/>
        </w:rPr>
        <w:t xml:space="preserve">enómeno </w:t>
      </w:r>
      <w:r>
        <w:rPr>
          <w:sz w:val="18"/>
          <w:lang w:val="es-PE"/>
        </w:rPr>
        <w:t xml:space="preserve">de </w:t>
      </w:r>
      <w:r w:rsidRPr="003E0D14">
        <w:rPr>
          <w:sz w:val="18"/>
          <w:lang w:val="es-PE"/>
        </w:rPr>
        <w:t>El Niño.</w:t>
      </w:r>
    </w:p>
    <w:p w14:paraId="5BE3E595" w14:textId="77777777" w:rsidR="00C75A27" w:rsidRPr="003E0D14" w:rsidRDefault="00D4093E">
      <w:pPr>
        <w:pStyle w:val="Listaconvietas"/>
        <w:keepLines/>
        <w:spacing w:after="0"/>
        <w:rPr>
          <w:lang w:val="es-PE"/>
        </w:rPr>
      </w:pPr>
      <w:r w:rsidRPr="003E0D14">
        <w:rPr>
          <w:sz w:val="18"/>
          <w:lang w:val="es-PE"/>
        </w:rPr>
        <w:t>ProInversión. Cartera de proyectos de asociaciones público-privadas y planes de promoción.</w:t>
      </w:r>
    </w:p>
    <w:p w14:paraId="50EB675C" w14:textId="77777777" w:rsidR="00C75A27" w:rsidRPr="003E0D14" w:rsidRDefault="00D4093E">
      <w:pPr>
        <w:pStyle w:val="Listaconvietas"/>
        <w:keepLines/>
        <w:spacing w:after="0"/>
        <w:rPr>
          <w:lang w:val="es-PE"/>
        </w:rPr>
      </w:pPr>
      <w:r w:rsidRPr="003E0D14">
        <w:rPr>
          <w:sz w:val="18"/>
          <w:lang w:val="es-PE"/>
        </w:rPr>
        <w:t>Infogas. Reportes estadísticos mensuales del gas natural vehicular.</w:t>
      </w:r>
    </w:p>
    <w:p w14:paraId="71E91347" w14:textId="77777777" w:rsidR="00C75A27" w:rsidRPr="003E0D14" w:rsidRDefault="00D4093E">
      <w:pPr>
        <w:pStyle w:val="Listaconvietas"/>
        <w:keepLines/>
        <w:spacing w:after="0"/>
        <w:rPr>
          <w:lang w:val="es-PE"/>
        </w:rPr>
      </w:pPr>
      <w:r w:rsidRPr="003E0D14">
        <w:rPr>
          <w:sz w:val="18"/>
          <w:lang w:val="es-PE"/>
        </w:rPr>
        <w:lastRenderedPageBreak/>
        <w:t>Superintendencia Nacional de Aduanas y de Administración Tributaria (SUNAT). Estadísticas de comercio exterior.</w:t>
      </w:r>
    </w:p>
    <w:p w14:paraId="4EA9DB5C" w14:textId="77777777" w:rsidR="00C75A27" w:rsidRPr="003E0D14" w:rsidRDefault="00D4093E">
      <w:pPr>
        <w:pStyle w:val="Listaconvietas"/>
        <w:keepLines/>
        <w:spacing w:after="0"/>
        <w:rPr>
          <w:lang w:val="es-PE"/>
        </w:rPr>
      </w:pPr>
      <w:r w:rsidRPr="003E0D14">
        <w:rPr>
          <w:sz w:val="18"/>
          <w:lang w:val="es-PE"/>
        </w:rPr>
        <w:t>Instituto Nacional de Defensa de la Competencia y de la Protección de la Propiedad Intelectual (Indecopi). Estadísticas de eliminación de barreras burocráticas.</w:t>
      </w:r>
    </w:p>
    <w:p w14:paraId="1595895A" w14:textId="77777777" w:rsidR="00C75A27" w:rsidRDefault="00D4093E">
      <w:pPr>
        <w:keepNext/>
        <w:keepLines/>
        <w:spacing w:before="160" w:after="40"/>
      </w:pPr>
      <w:r>
        <w:rPr>
          <w:b/>
          <w:color w:val="15607F"/>
          <w:sz w:val="19"/>
        </w:rPr>
        <w:t>Fuentes macroeconómicas</w:t>
      </w:r>
    </w:p>
    <w:p w14:paraId="24C2ED3B" w14:textId="77777777" w:rsidR="00C75A27" w:rsidRPr="003E0D14" w:rsidRDefault="00D4093E">
      <w:pPr>
        <w:pStyle w:val="Listaconvietas"/>
        <w:keepLines/>
        <w:spacing w:after="0"/>
        <w:rPr>
          <w:lang w:val="es-PE"/>
        </w:rPr>
      </w:pPr>
      <w:r w:rsidRPr="003E0D14">
        <w:rPr>
          <w:sz w:val="18"/>
          <w:lang w:val="es-PE"/>
        </w:rPr>
        <w:t>Banco Central de Reserva del Perú (BCRP). Series estadísticas (BCRPData) y notas semanales.</w:t>
      </w:r>
    </w:p>
    <w:p w14:paraId="6513B85D" w14:textId="77777777" w:rsidR="00C75A27" w:rsidRPr="003E0D14" w:rsidRDefault="00D4093E">
      <w:pPr>
        <w:pStyle w:val="Listaconvietas"/>
        <w:keepLines/>
        <w:spacing w:after="0"/>
        <w:rPr>
          <w:lang w:val="es-PE"/>
        </w:rPr>
      </w:pPr>
      <w:r w:rsidRPr="00B4606A">
        <w:rPr>
          <w:sz w:val="18"/>
          <w:lang w:val="pt-BR"/>
        </w:rPr>
        <w:t xml:space="preserve">Instituto Nacional de Estadística e Informática (INEI). </w:t>
      </w:r>
      <w:r w:rsidRPr="003E0D14">
        <w:rPr>
          <w:sz w:val="18"/>
          <w:lang w:val="es-PE"/>
        </w:rPr>
        <w:t>Indicadores de producción y empleo.</w:t>
      </w:r>
    </w:p>
    <w:p w14:paraId="4094B003" w14:textId="77777777" w:rsidR="00C75A27" w:rsidRPr="003E0D14" w:rsidRDefault="00D4093E">
      <w:pPr>
        <w:pStyle w:val="Listaconvietas"/>
        <w:keepLines/>
        <w:spacing w:after="0"/>
        <w:rPr>
          <w:lang w:val="es-PE"/>
        </w:rPr>
      </w:pPr>
      <w:r w:rsidRPr="003E0D14">
        <w:rPr>
          <w:sz w:val="18"/>
          <w:lang w:val="es-PE"/>
        </w:rPr>
        <w:t>APOYO Consultoría. Sondeos SAE y proyecciones macroeconómicas.</w:t>
      </w:r>
    </w:p>
    <w:p w14:paraId="23312FF8" w14:textId="77777777" w:rsidR="00C75A27" w:rsidRPr="003E0D14" w:rsidRDefault="00D4093E">
      <w:pPr>
        <w:pStyle w:val="Listaconvietas"/>
        <w:keepLines/>
        <w:spacing w:after="0"/>
        <w:rPr>
          <w:lang w:val="es-PE"/>
        </w:rPr>
      </w:pPr>
      <w:r w:rsidRPr="003E0D14">
        <w:rPr>
          <w:sz w:val="18"/>
          <w:lang w:val="es-PE"/>
        </w:rPr>
        <w:t>Ipsos. Encuestas de percepción de los hogares.</w:t>
      </w:r>
    </w:p>
    <w:p w14:paraId="3109FE82" w14:textId="77777777" w:rsidR="00C75A27" w:rsidRPr="003E0D14" w:rsidRDefault="00D4093E">
      <w:pPr>
        <w:pStyle w:val="Listaconvietas"/>
        <w:keepLines/>
        <w:spacing w:after="0"/>
        <w:rPr>
          <w:lang w:val="es-PE"/>
        </w:rPr>
      </w:pPr>
      <w:r w:rsidRPr="00B4606A">
        <w:rPr>
          <w:sz w:val="18"/>
          <w:lang w:val="fr-FR"/>
        </w:rPr>
        <w:t xml:space="preserve">Capital Economics y Census Bureau. </w:t>
      </w:r>
      <w:r w:rsidRPr="003E0D14">
        <w:rPr>
          <w:sz w:val="18"/>
          <w:lang w:val="es-PE"/>
        </w:rPr>
        <w:t>Indicadores de política comercial de Estados Unidos.</w:t>
      </w:r>
    </w:p>
    <w:p w14:paraId="67758AA7" w14:textId="77777777" w:rsidR="00C75A27" w:rsidRPr="003E0D14" w:rsidRDefault="00D4093E">
      <w:pPr>
        <w:pStyle w:val="Listaconvietas"/>
        <w:keepLines/>
        <w:spacing w:after="0"/>
        <w:rPr>
          <w:lang w:val="es-PE"/>
        </w:rPr>
      </w:pPr>
      <w:r>
        <w:rPr>
          <w:sz w:val="18"/>
        </w:rPr>
        <w:t xml:space="preserve">Economic Policy Uncertainty (Baker, Bloom y Davis). </w:t>
      </w:r>
      <w:r w:rsidRPr="003E0D14">
        <w:rPr>
          <w:sz w:val="18"/>
          <w:lang w:val="es-PE"/>
        </w:rPr>
        <w:t>Índice de incertidumbre sobre política económica.</w:t>
      </w:r>
    </w:p>
    <w:p w14:paraId="65514A3C" w14:textId="77777777" w:rsidR="00C75A27" w:rsidRPr="003E0D14" w:rsidRDefault="00D4093E">
      <w:pPr>
        <w:pStyle w:val="Listaconvietas"/>
        <w:keepLines/>
        <w:spacing w:after="0"/>
        <w:rPr>
          <w:lang w:val="es-PE"/>
        </w:rPr>
      </w:pPr>
      <w:r w:rsidRPr="00B4606A">
        <w:rPr>
          <w:sz w:val="18"/>
          <w:lang w:val="es-PE"/>
        </w:rPr>
        <w:t>Instituto Peruano de Economía (IPE). Estudios sobre inversión en hidrocarburos, masificación del gas natural y gestión subnacional.</w:t>
      </w:r>
    </w:p>
    <w:p w14:paraId="2355292C" w14:textId="77777777" w:rsidR="00C75A27" w:rsidRDefault="00D4093E">
      <w:pPr>
        <w:keepNext/>
        <w:keepLines/>
        <w:spacing w:before="160" w:after="40"/>
      </w:pPr>
      <w:r>
        <w:rPr>
          <w:b/>
          <w:color w:val="15607F"/>
          <w:sz w:val="19"/>
        </w:rPr>
        <w:t>Fuentes internacionales</w:t>
      </w:r>
    </w:p>
    <w:p w14:paraId="1519442B" w14:textId="77777777" w:rsidR="00C75A27" w:rsidRDefault="00D4093E">
      <w:pPr>
        <w:pStyle w:val="Listaconvietas"/>
        <w:keepLines/>
        <w:spacing w:after="0"/>
      </w:pPr>
      <w:r>
        <w:rPr>
          <w:sz w:val="18"/>
        </w:rPr>
        <w:t>Energy Institute. Statistical Review of World Energy 2026.</w:t>
      </w:r>
    </w:p>
    <w:p w14:paraId="0558EE88" w14:textId="77777777" w:rsidR="00C75A27" w:rsidRDefault="00D4093E">
      <w:pPr>
        <w:pStyle w:val="Listaconvietas"/>
        <w:keepLines/>
        <w:spacing w:after="0"/>
      </w:pPr>
      <w:r>
        <w:rPr>
          <w:sz w:val="18"/>
        </w:rPr>
        <w:t>International Energy Agency (IEA). Coal Mid-Year Update 2025.</w:t>
      </w:r>
    </w:p>
    <w:p w14:paraId="3FC380C4" w14:textId="77777777" w:rsidR="00C75A27" w:rsidRDefault="00D4093E">
      <w:pPr>
        <w:pStyle w:val="Listaconvietas"/>
        <w:keepLines/>
        <w:spacing w:after="0"/>
      </w:pPr>
      <w:r>
        <w:rPr>
          <w:sz w:val="18"/>
        </w:rPr>
        <w:t>International Gas Union (IGU). World LNG Report 2026.</w:t>
      </w:r>
    </w:p>
    <w:p w14:paraId="7A99DCA0" w14:textId="77777777" w:rsidR="00C75A27" w:rsidRDefault="00D4093E">
      <w:pPr>
        <w:pStyle w:val="Listaconvietas"/>
        <w:keepLines/>
        <w:spacing w:after="0"/>
      </w:pPr>
      <w:r>
        <w:rPr>
          <w:sz w:val="18"/>
        </w:rPr>
        <w:t>National Oceanic and Atmospheric Administration (NOAA), Climate Prediction Center. ENSO Diagnostic Discussion.</w:t>
      </w:r>
    </w:p>
    <w:p w14:paraId="7BB1D77D" w14:textId="77777777" w:rsidR="00C75A27" w:rsidRPr="00B4606A" w:rsidRDefault="00D4093E">
      <w:pPr>
        <w:pStyle w:val="Listaconvietas"/>
        <w:keepLines/>
        <w:spacing w:after="0"/>
        <w:rPr>
          <w:lang w:val="es-PE"/>
        </w:rPr>
      </w:pPr>
      <w:r w:rsidRPr="00B4606A">
        <w:rPr>
          <w:sz w:val="18"/>
          <w:lang w:val="es-PE"/>
        </w:rPr>
        <w:t>Fondo Monetario Internacional (FMI). Informes de país.</w:t>
      </w:r>
    </w:p>
    <w:p w14:paraId="4A2FC33B" w14:textId="77777777" w:rsidR="00C75A27" w:rsidRDefault="00D4093E">
      <w:pPr>
        <w:keepNext/>
        <w:keepLines/>
        <w:spacing w:before="160" w:after="40"/>
      </w:pPr>
      <w:r>
        <w:rPr>
          <w:b/>
          <w:color w:val="15607F"/>
          <w:sz w:val="19"/>
        </w:rPr>
        <w:t>Empresas del sector</w:t>
      </w:r>
    </w:p>
    <w:p w14:paraId="25619B15" w14:textId="77777777" w:rsidR="00C75A27" w:rsidRDefault="00D4093E">
      <w:pPr>
        <w:pStyle w:val="Listaconvietas"/>
        <w:keepLines/>
        <w:spacing w:after="0"/>
      </w:pPr>
      <w:r w:rsidRPr="003E0D14">
        <w:rPr>
          <w:sz w:val="18"/>
          <w:lang w:val="es-PE"/>
        </w:rPr>
        <w:t xml:space="preserve">Cálidda, Quavii – Gases del Pacífico, Quavii – Gases del Norte del Perú, Contugas y Petroperú. </w:t>
      </w:r>
      <w:r>
        <w:rPr>
          <w:sz w:val="18"/>
          <w:lang w:val="es-PE"/>
        </w:rPr>
        <w:t>Memorias anuales, estados financieros auditados y formularios estadísticos</w:t>
      </w:r>
      <w:r>
        <w:rPr>
          <w:sz w:val="18"/>
        </w:rPr>
        <w:t>.</w:t>
      </w:r>
    </w:p>
    <w:p w14:paraId="2C8736A4" w14:textId="77777777" w:rsidR="00C75A27" w:rsidRPr="003E0D14" w:rsidRDefault="00D4093E">
      <w:pPr>
        <w:pStyle w:val="Listaconvietas"/>
        <w:keepLines/>
        <w:spacing w:after="0"/>
        <w:rPr>
          <w:lang w:val="es-PE"/>
        </w:rPr>
      </w:pPr>
      <w:r w:rsidRPr="003E0D14">
        <w:rPr>
          <w:sz w:val="18"/>
          <w:lang w:val="es-PE"/>
        </w:rPr>
        <w:t>Promigas. Informe integrado de gestión.</w:t>
      </w:r>
    </w:p>
    <w:p w14:paraId="5A480C64" w14:textId="77777777" w:rsidR="00C75A27" w:rsidRDefault="00D4093E">
      <w:pPr>
        <w:pStyle w:val="Listaconvietas"/>
        <w:keepLines/>
        <w:spacing w:after="0"/>
      </w:pPr>
      <w:r w:rsidRPr="003E0D14">
        <w:rPr>
          <w:sz w:val="18"/>
          <w:lang w:val="es-PE"/>
        </w:rPr>
        <w:t xml:space="preserve">Transportadora de Gas del Perú y Perú LNG. </w:t>
      </w:r>
      <w:r>
        <w:rPr>
          <w:sz w:val="18"/>
        </w:rPr>
        <w:t>Información operativa.</w:t>
      </w:r>
    </w:p>
    <w:p w14:paraId="191037DD" w14:textId="77777777" w:rsidR="00C75A27" w:rsidRDefault="00D4093E">
      <w:pPr>
        <w:pStyle w:val="Ttulo2"/>
      </w:pPr>
      <w:bookmarkStart w:id="64" w:name="_Idx_8_4"/>
      <w:r>
        <w:t>8.4. Factores de conversión entre combustibles</w:t>
      </w:r>
      <w:bookmarkEnd w:id="64"/>
    </w:p>
    <w:tbl>
      <w:tblPr>
        <w:tblW w:w="0" w:type="auto"/>
        <w:jc w:val="center"/>
        <w:tblLayout w:type="fixed"/>
        <w:tblLook w:val="04A0" w:firstRow="1" w:lastRow="0" w:firstColumn="1" w:lastColumn="0" w:noHBand="0" w:noVBand="1"/>
      </w:tblPr>
      <w:tblGrid>
        <w:gridCol w:w="2268"/>
        <w:gridCol w:w="2835"/>
        <w:gridCol w:w="3402"/>
      </w:tblGrid>
      <w:tr w:rsidR="00C75A27" w:rsidRPr="001D477C" w14:paraId="755C80D8" w14:textId="77777777">
        <w:trPr>
          <w:cantSplit/>
          <w:jc w:val="center"/>
        </w:trPr>
        <w:tc>
          <w:tcPr>
            <w:tcW w:w="2268" w:type="dxa"/>
            <w:shd w:val="clear" w:color="auto" w:fill="1F3B63"/>
          </w:tcPr>
          <w:p w14:paraId="1E3BE377" w14:textId="77777777" w:rsidR="00C75A27" w:rsidRDefault="00D4093E">
            <w:pPr>
              <w:keepNext/>
              <w:spacing w:before="40" w:after="40"/>
              <w:jc w:val="left"/>
            </w:pPr>
            <w:r>
              <w:rPr>
                <w:b/>
                <w:color w:val="FFFFFF"/>
                <w:sz w:val="18"/>
              </w:rPr>
              <w:t>UNIDAD</w:t>
            </w:r>
          </w:p>
        </w:tc>
        <w:tc>
          <w:tcPr>
            <w:tcW w:w="2835" w:type="dxa"/>
            <w:shd w:val="clear" w:color="auto" w:fill="1F3B63"/>
          </w:tcPr>
          <w:p w14:paraId="7A921F53" w14:textId="77777777" w:rsidR="00C75A27" w:rsidRDefault="00D4093E">
            <w:pPr>
              <w:keepNext/>
              <w:spacing w:before="40" w:after="40"/>
              <w:jc w:val="left"/>
            </w:pPr>
            <w:r>
              <w:rPr>
                <w:b/>
                <w:color w:val="FFFFFF"/>
                <w:sz w:val="18"/>
              </w:rPr>
              <w:t>COMBUSTIBLE</w:t>
            </w:r>
          </w:p>
        </w:tc>
        <w:tc>
          <w:tcPr>
            <w:tcW w:w="3402" w:type="dxa"/>
            <w:shd w:val="clear" w:color="auto" w:fill="1F3B63"/>
          </w:tcPr>
          <w:p w14:paraId="52C89DD9" w14:textId="77777777" w:rsidR="00C75A27" w:rsidRPr="003E0D14" w:rsidRDefault="00D4093E">
            <w:pPr>
              <w:keepNext/>
              <w:spacing w:before="40" w:after="40"/>
              <w:jc w:val="left"/>
              <w:rPr>
                <w:lang w:val="es-PE"/>
              </w:rPr>
            </w:pPr>
            <w:r w:rsidRPr="003E0D14">
              <w:rPr>
                <w:b/>
                <w:color w:val="FFFFFF"/>
                <w:sz w:val="18"/>
                <w:lang w:val="es-PE"/>
              </w:rPr>
              <w:t>PODER CALORÍFICO (miles de BTU)</w:t>
            </w:r>
          </w:p>
        </w:tc>
      </w:tr>
      <w:tr w:rsidR="00C75A27" w14:paraId="19A585C2" w14:textId="77777777">
        <w:trPr>
          <w:cantSplit/>
          <w:jc w:val="center"/>
        </w:trPr>
        <w:tc>
          <w:tcPr>
            <w:tcW w:w="2268" w:type="dxa"/>
            <w:tcBorders>
              <w:bottom w:val="single" w:sz="4" w:space="0" w:color="D9D9D9"/>
            </w:tcBorders>
          </w:tcPr>
          <w:p w14:paraId="78C7D7B3" w14:textId="77777777" w:rsidR="00C75A27" w:rsidRDefault="00D4093E">
            <w:pPr>
              <w:keepNext/>
              <w:spacing w:before="40" w:after="40"/>
              <w:jc w:val="left"/>
            </w:pPr>
            <w:r>
              <w:rPr>
                <w:sz w:val="17"/>
              </w:rPr>
              <w:t>Metro cúbico</w:t>
            </w:r>
          </w:p>
        </w:tc>
        <w:tc>
          <w:tcPr>
            <w:tcW w:w="2835" w:type="dxa"/>
            <w:tcBorders>
              <w:bottom w:val="single" w:sz="4" w:space="0" w:color="D9D9D9"/>
            </w:tcBorders>
          </w:tcPr>
          <w:p w14:paraId="25AAEA56" w14:textId="77777777" w:rsidR="00C75A27" w:rsidRDefault="00D4093E">
            <w:pPr>
              <w:keepNext/>
              <w:spacing w:before="40" w:after="40"/>
              <w:jc w:val="left"/>
            </w:pPr>
            <w:r>
              <w:rPr>
                <w:sz w:val="17"/>
              </w:rPr>
              <w:t>Gas natural¹</w:t>
            </w:r>
          </w:p>
        </w:tc>
        <w:tc>
          <w:tcPr>
            <w:tcW w:w="3402" w:type="dxa"/>
            <w:tcBorders>
              <w:bottom w:val="single" w:sz="4" w:space="0" w:color="D9D9D9"/>
            </w:tcBorders>
          </w:tcPr>
          <w:p w14:paraId="28ECA5E8" w14:textId="77777777" w:rsidR="00C75A27" w:rsidRDefault="00D4093E">
            <w:pPr>
              <w:keepNext/>
              <w:spacing w:before="40" w:after="40"/>
              <w:jc w:val="left"/>
            </w:pPr>
            <w:r>
              <w:rPr>
                <w:sz w:val="17"/>
              </w:rPr>
              <w:t>35,3</w:t>
            </w:r>
          </w:p>
        </w:tc>
      </w:tr>
      <w:tr w:rsidR="00C75A27" w14:paraId="4BEA76E2" w14:textId="77777777">
        <w:trPr>
          <w:cantSplit/>
          <w:jc w:val="center"/>
        </w:trPr>
        <w:tc>
          <w:tcPr>
            <w:tcW w:w="2268" w:type="dxa"/>
            <w:tcBorders>
              <w:bottom w:val="single" w:sz="4" w:space="0" w:color="D9D9D9"/>
            </w:tcBorders>
          </w:tcPr>
          <w:p w14:paraId="7E091A19" w14:textId="77777777" w:rsidR="00C75A27" w:rsidRDefault="00D4093E">
            <w:pPr>
              <w:keepNext/>
              <w:spacing w:before="40" w:after="40"/>
              <w:jc w:val="left"/>
            </w:pPr>
            <w:r>
              <w:rPr>
                <w:sz w:val="17"/>
              </w:rPr>
              <w:t>Metro cúbico</w:t>
            </w:r>
          </w:p>
        </w:tc>
        <w:tc>
          <w:tcPr>
            <w:tcW w:w="2835" w:type="dxa"/>
            <w:tcBorders>
              <w:bottom w:val="single" w:sz="4" w:space="0" w:color="D9D9D9"/>
            </w:tcBorders>
          </w:tcPr>
          <w:p w14:paraId="3E3B1AE2" w14:textId="77777777" w:rsidR="00C75A27" w:rsidRDefault="00D4093E">
            <w:pPr>
              <w:keepNext/>
              <w:spacing w:before="40" w:after="40"/>
              <w:jc w:val="left"/>
            </w:pPr>
            <w:r>
              <w:rPr>
                <w:sz w:val="17"/>
              </w:rPr>
              <w:t>Biogás</w:t>
            </w:r>
          </w:p>
        </w:tc>
        <w:tc>
          <w:tcPr>
            <w:tcW w:w="3402" w:type="dxa"/>
            <w:tcBorders>
              <w:bottom w:val="single" w:sz="4" w:space="0" w:color="D9D9D9"/>
            </w:tcBorders>
          </w:tcPr>
          <w:p w14:paraId="7C8315DB" w14:textId="77777777" w:rsidR="00C75A27" w:rsidRDefault="00D4093E">
            <w:pPr>
              <w:keepNext/>
              <w:spacing w:before="40" w:after="40"/>
              <w:jc w:val="left"/>
            </w:pPr>
            <w:r>
              <w:rPr>
                <w:sz w:val="17"/>
              </w:rPr>
              <w:t>18,0</w:t>
            </w:r>
          </w:p>
        </w:tc>
      </w:tr>
      <w:tr w:rsidR="00C75A27" w14:paraId="63F51A56" w14:textId="77777777">
        <w:trPr>
          <w:cantSplit/>
          <w:jc w:val="center"/>
        </w:trPr>
        <w:tc>
          <w:tcPr>
            <w:tcW w:w="2268" w:type="dxa"/>
            <w:tcBorders>
              <w:bottom w:val="single" w:sz="4" w:space="0" w:color="D9D9D9"/>
            </w:tcBorders>
          </w:tcPr>
          <w:p w14:paraId="7CDF8D8C" w14:textId="77777777" w:rsidR="00C75A27" w:rsidRDefault="00D4093E">
            <w:pPr>
              <w:keepNext/>
              <w:spacing w:before="40" w:after="40"/>
              <w:jc w:val="left"/>
            </w:pPr>
            <w:r>
              <w:rPr>
                <w:sz w:val="17"/>
              </w:rPr>
              <w:t>Metro cúbico</w:t>
            </w:r>
          </w:p>
        </w:tc>
        <w:tc>
          <w:tcPr>
            <w:tcW w:w="2835" w:type="dxa"/>
            <w:tcBorders>
              <w:bottom w:val="single" w:sz="4" w:space="0" w:color="D9D9D9"/>
            </w:tcBorders>
          </w:tcPr>
          <w:p w14:paraId="27461EB5" w14:textId="77777777" w:rsidR="00C75A27" w:rsidRDefault="00D4093E">
            <w:pPr>
              <w:keepNext/>
              <w:spacing w:before="40" w:after="40"/>
              <w:jc w:val="left"/>
            </w:pPr>
            <w:r>
              <w:rPr>
                <w:sz w:val="17"/>
              </w:rPr>
              <w:t>Leña</w:t>
            </w:r>
          </w:p>
        </w:tc>
        <w:tc>
          <w:tcPr>
            <w:tcW w:w="3402" w:type="dxa"/>
            <w:tcBorders>
              <w:bottom w:val="single" w:sz="4" w:space="0" w:color="D9D9D9"/>
            </w:tcBorders>
          </w:tcPr>
          <w:p w14:paraId="4814E07E" w14:textId="77777777" w:rsidR="00C75A27" w:rsidRDefault="00D4093E">
            <w:pPr>
              <w:keepNext/>
              <w:spacing w:before="40" w:after="40"/>
              <w:jc w:val="left"/>
            </w:pPr>
            <w:r>
              <w:rPr>
                <w:sz w:val="17"/>
              </w:rPr>
              <w:t>4.682</w:t>
            </w:r>
          </w:p>
        </w:tc>
      </w:tr>
      <w:tr w:rsidR="00C75A27" w14:paraId="62FDB799" w14:textId="77777777">
        <w:trPr>
          <w:cantSplit/>
          <w:jc w:val="center"/>
        </w:trPr>
        <w:tc>
          <w:tcPr>
            <w:tcW w:w="2268" w:type="dxa"/>
            <w:tcBorders>
              <w:bottom w:val="single" w:sz="4" w:space="0" w:color="D9D9D9"/>
            </w:tcBorders>
          </w:tcPr>
          <w:p w14:paraId="4D0049E8" w14:textId="77777777" w:rsidR="00C75A27" w:rsidRDefault="00D4093E">
            <w:pPr>
              <w:keepNext/>
              <w:spacing w:before="40" w:after="40"/>
              <w:jc w:val="left"/>
            </w:pPr>
            <w:r>
              <w:rPr>
                <w:sz w:val="17"/>
              </w:rPr>
              <w:t>Tonelada</w:t>
            </w:r>
          </w:p>
        </w:tc>
        <w:tc>
          <w:tcPr>
            <w:tcW w:w="2835" w:type="dxa"/>
            <w:tcBorders>
              <w:bottom w:val="single" w:sz="4" w:space="0" w:color="D9D9D9"/>
            </w:tcBorders>
          </w:tcPr>
          <w:p w14:paraId="1F201C01" w14:textId="77777777" w:rsidR="00C75A27" w:rsidRDefault="00D4093E">
            <w:pPr>
              <w:keepNext/>
              <w:spacing w:before="40" w:after="40"/>
              <w:jc w:val="left"/>
            </w:pPr>
            <w:r>
              <w:rPr>
                <w:sz w:val="17"/>
              </w:rPr>
              <w:t>Bagazo</w:t>
            </w:r>
          </w:p>
        </w:tc>
        <w:tc>
          <w:tcPr>
            <w:tcW w:w="3402" w:type="dxa"/>
            <w:tcBorders>
              <w:bottom w:val="single" w:sz="4" w:space="0" w:color="D9D9D9"/>
            </w:tcBorders>
          </w:tcPr>
          <w:p w14:paraId="2DDF1A39" w14:textId="77777777" w:rsidR="00C75A27" w:rsidRDefault="00D4093E">
            <w:pPr>
              <w:keepNext/>
              <w:spacing w:before="40" w:after="40"/>
              <w:jc w:val="left"/>
            </w:pPr>
            <w:r>
              <w:rPr>
                <w:sz w:val="17"/>
              </w:rPr>
              <w:t>9.004</w:t>
            </w:r>
          </w:p>
        </w:tc>
      </w:tr>
      <w:tr w:rsidR="00C75A27" w14:paraId="18E7579A" w14:textId="77777777">
        <w:trPr>
          <w:cantSplit/>
          <w:jc w:val="center"/>
        </w:trPr>
        <w:tc>
          <w:tcPr>
            <w:tcW w:w="2268" w:type="dxa"/>
            <w:tcBorders>
              <w:bottom w:val="single" w:sz="4" w:space="0" w:color="D9D9D9"/>
            </w:tcBorders>
          </w:tcPr>
          <w:p w14:paraId="3A795FF2" w14:textId="77777777" w:rsidR="00C75A27" w:rsidRDefault="00D4093E">
            <w:pPr>
              <w:keepNext/>
              <w:spacing w:before="40" w:after="40"/>
              <w:jc w:val="left"/>
            </w:pPr>
            <w:r>
              <w:rPr>
                <w:sz w:val="17"/>
              </w:rPr>
              <w:t>Tonelada</w:t>
            </w:r>
          </w:p>
        </w:tc>
        <w:tc>
          <w:tcPr>
            <w:tcW w:w="2835" w:type="dxa"/>
            <w:tcBorders>
              <w:bottom w:val="single" w:sz="4" w:space="0" w:color="D9D9D9"/>
            </w:tcBorders>
          </w:tcPr>
          <w:p w14:paraId="5D6287F3" w14:textId="77777777" w:rsidR="00C75A27" w:rsidRDefault="00D4093E">
            <w:pPr>
              <w:keepNext/>
              <w:spacing w:before="40" w:after="40"/>
              <w:jc w:val="left"/>
            </w:pPr>
            <w:r>
              <w:rPr>
                <w:sz w:val="17"/>
              </w:rPr>
              <w:t>Carbón mineral</w:t>
            </w:r>
          </w:p>
        </w:tc>
        <w:tc>
          <w:tcPr>
            <w:tcW w:w="3402" w:type="dxa"/>
            <w:tcBorders>
              <w:bottom w:val="single" w:sz="4" w:space="0" w:color="D9D9D9"/>
            </w:tcBorders>
          </w:tcPr>
          <w:p w14:paraId="28066898" w14:textId="77777777" w:rsidR="00C75A27" w:rsidRDefault="00D4093E">
            <w:pPr>
              <w:keepNext/>
              <w:spacing w:before="40" w:after="40"/>
              <w:jc w:val="left"/>
            </w:pPr>
            <w:r>
              <w:rPr>
                <w:sz w:val="17"/>
              </w:rPr>
              <w:t>23.127</w:t>
            </w:r>
          </w:p>
        </w:tc>
      </w:tr>
      <w:tr w:rsidR="00C75A27" w14:paraId="198217F8" w14:textId="77777777">
        <w:trPr>
          <w:cantSplit/>
          <w:jc w:val="center"/>
        </w:trPr>
        <w:tc>
          <w:tcPr>
            <w:tcW w:w="2268" w:type="dxa"/>
            <w:tcBorders>
              <w:bottom w:val="single" w:sz="4" w:space="0" w:color="D9D9D9"/>
            </w:tcBorders>
          </w:tcPr>
          <w:p w14:paraId="7E187440" w14:textId="77777777" w:rsidR="00C75A27" w:rsidRDefault="00D4093E">
            <w:pPr>
              <w:keepNext/>
              <w:spacing w:before="40" w:after="40"/>
              <w:jc w:val="left"/>
            </w:pPr>
            <w:r>
              <w:rPr>
                <w:sz w:val="17"/>
              </w:rPr>
              <w:t>Tonelada</w:t>
            </w:r>
          </w:p>
        </w:tc>
        <w:tc>
          <w:tcPr>
            <w:tcW w:w="2835" w:type="dxa"/>
            <w:tcBorders>
              <w:bottom w:val="single" w:sz="4" w:space="0" w:color="D9D9D9"/>
            </w:tcBorders>
          </w:tcPr>
          <w:p w14:paraId="0B30BC21" w14:textId="77777777" w:rsidR="00C75A27" w:rsidRDefault="00D4093E">
            <w:pPr>
              <w:keepNext/>
              <w:spacing w:before="40" w:after="40"/>
              <w:jc w:val="left"/>
            </w:pPr>
            <w:r>
              <w:rPr>
                <w:sz w:val="17"/>
              </w:rPr>
              <w:t>Coque de carbón</w:t>
            </w:r>
          </w:p>
        </w:tc>
        <w:tc>
          <w:tcPr>
            <w:tcW w:w="3402" w:type="dxa"/>
            <w:tcBorders>
              <w:bottom w:val="single" w:sz="4" w:space="0" w:color="D9D9D9"/>
            </w:tcBorders>
          </w:tcPr>
          <w:p w14:paraId="67AE01A5" w14:textId="77777777" w:rsidR="00C75A27" w:rsidRDefault="00D4093E">
            <w:pPr>
              <w:keepNext/>
              <w:spacing w:before="40" w:after="40"/>
              <w:jc w:val="left"/>
            </w:pPr>
            <w:r>
              <w:rPr>
                <w:sz w:val="17"/>
              </w:rPr>
              <w:t>26.728</w:t>
            </w:r>
          </w:p>
        </w:tc>
      </w:tr>
      <w:tr w:rsidR="00C75A27" w14:paraId="02E257F8" w14:textId="77777777">
        <w:trPr>
          <w:cantSplit/>
          <w:jc w:val="center"/>
        </w:trPr>
        <w:tc>
          <w:tcPr>
            <w:tcW w:w="2268" w:type="dxa"/>
            <w:tcBorders>
              <w:bottom w:val="single" w:sz="4" w:space="0" w:color="D9D9D9"/>
            </w:tcBorders>
          </w:tcPr>
          <w:p w14:paraId="2EDE56B1" w14:textId="77777777" w:rsidR="00C75A27" w:rsidRDefault="00D4093E">
            <w:pPr>
              <w:keepNext/>
              <w:spacing w:before="40" w:after="40"/>
              <w:jc w:val="left"/>
            </w:pPr>
            <w:r>
              <w:rPr>
                <w:sz w:val="17"/>
              </w:rPr>
              <w:t>Tonelada</w:t>
            </w:r>
          </w:p>
        </w:tc>
        <w:tc>
          <w:tcPr>
            <w:tcW w:w="2835" w:type="dxa"/>
            <w:tcBorders>
              <w:bottom w:val="single" w:sz="4" w:space="0" w:color="D9D9D9"/>
            </w:tcBorders>
          </w:tcPr>
          <w:p w14:paraId="22B096B9" w14:textId="77777777" w:rsidR="00C75A27" w:rsidRDefault="00D4093E">
            <w:pPr>
              <w:keepNext/>
              <w:spacing w:before="40" w:after="40"/>
              <w:jc w:val="left"/>
            </w:pPr>
            <w:r>
              <w:rPr>
                <w:sz w:val="17"/>
              </w:rPr>
              <w:t>Diésel</w:t>
            </w:r>
          </w:p>
        </w:tc>
        <w:tc>
          <w:tcPr>
            <w:tcW w:w="3402" w:type="dxa"/>
            <w:tcBorders>
              <w:bottom w:val="single" w:sz="4" w:space="0" w:color="D9D9D9"/>
            </w:tcBorders>
          </w:tcPr>
          <w:p w14:paraId="6B93098D" w14:textId="77777777" w:rsidR="00C75A27" w:rsidRDefault="00D4093E">
            <w:pPr>
              <w:keepNext/>
              <w:spacing w:before="40" w:after="40"/>
              <w:jc w:val="left"/>
            </w:pPr>
            <w:r>
              <w:rPr>
                <w:sz w:val="17"/>
              </w:rPr>
              <w:t>43.126</w:t>
            </w:r>
          </w:p>
        </w:tc>
      </w:tr>
      <w:tr w:rsidR="00C75A27" w14:paraId="5948832C" w14:textId="77777777">
        <w:trPr>
          <w:cantSplit/>
          <w:jc w:val="center"/>
        </w:trPr>
        <w:tc>
          <w:tcPr>
            <w:tcW w:w="2268" w:type="dxa"/>
            <w:tcBorders>
              <w:bottom w:val="single" w:sz="4" w:space="0" w:color="D9D9D9"/>
            </w:tcBorders>
          </w:tcPr>
          <w:p w14:paraId="40556E61" w14:textId="77777777" w:rsidR="00C75A27" w:rsidRDefault="00D4093E">
            <w:pPr>
              <w:keepNext/>
              <w:spacing w:before="40" w:after="40"/>
              <w:jc w:val="left"/>
            </w:pPr>
            <w:r>
              <w:rPr>
                <w:sz w:val="17"/>
              </w:rPr>
              <w:t>Tonelada</w:t>
            </w:r>
          </w:p>
        </w:tc>
        <w:tc>
          <w:tcPr>
            <w:tcW w:w="2835" w:type="dxa"/>
            <w:tcBorders>
              <w:bottom w:val="single" w:sz="4" w:space="0" w:color="D9D9D9"/>
            </w:tcBorders>
          </w:tcPr>
          <w:p w14:paraId="28785C4E" w14:textId="77777777" w:rsidR="00C75A27" w:rsidRDefault="00D4093E">
            <w:pPr>
              <w:keepNext/>
              <w:spacing w:before="40" w:after="40"/>
              <w:jc w:val="left"/>
            </w:pPr>
            <w:r>
              <w:rPr>
                <w:sz w:val="17"/>
              </w:rPr>
              <w:t>Petróleo industrial</w:t>
            </w:r>
          </w:p>
        </w:tc>
        <w:tc>
          <w:tcPr>
            <w:tcW w:w="3402" w:type="dxa"/>
            <w:tcBorders>
              <w:bottom w:val="single" w:sz="4" w:space="0" w:color="D9D9D9"/>
            </w:tcBorders>
          </w:tcPr>
          <w:p w14:paraId="2C79D762" w14:textId="77777777" w:rsidR="00C75A27" w:rsidRDefault="00D4093E">
            <w:pPr>
              <w:keepNext/>
              <w:spacing w:before="40" w:after="40"/>
              <w:jc w:val="left"/>
            </w:pPr>
            <w:r>
              <w:rPr>
                <w:sz w:val="17"/>
              </w:rPr>
              <w:t>43.884</w:t>
            </w:r>
          </w:p>
        </w:tc>
      </w:tr>
      <w:tr w:rsidR="00C75A27" w14:paraId="1E767E1F" w14:textId="77777777">
        <w:trPr>
          <w:cantSplit/>
          <w:jc w:val="center"/>
        </w:trPr>
        <w:tc>
          <w:tcPr>
            <w:tcW w:w="2268" w:type="dxa"/>
            <w:tcBorders>
              <w:bottom w:val="single" w:sz="4" w:space="0" w:color="D9D9D9"/>
            </w:tcBorders>
          </w:tcPr>
          <w:p w14:paraId="4DDD0E25" w14:textId="77777777" w:rsidR="00C75A27" w:rsidRDefault="00D4093E">
            <w:pPr>
              <w:keepNext/>
              <w:spacing w:before="40" w:after="40"/>
              <w:jc w:val="left"/>
            </w:pPr>
            <w:r>
              <w:rPr>
                <w:sz w:val="17"/>
              </w:rPr>
              <w:t>Galón</w:t>
            </w:r>
          </w:p>
        </w:tc>
        <w:tc>
          <w:tcPr>
            <w:tcW w:w="2835" w:type="dxa"/>
            <w:tcBorders>
              <w:bottom w:val="single" w:sz="4" w:space="0" w:color="D9D9D9"/>
            </w:tcBorders>
          </w:tcPr>
          <w:p w14:paraId="34746F25" w14:textId="77777777" w:rsidR="00C75A27" w:rsidRDefault="00D4093E">
            <w:pPr>
              <w:keepNext/>
              <w:spacing w:before="40" w:after="40"/>
              <w:jc w:val="left"/>
            </w:pPr>
            <w:r>
              <w:rPr>
                <w:sz w:val="17"/>
              </w:rPr>
              <w:t>GLP</w:t>
            </w:r>
          </w:p>
        </w:tc>
        <w:tc>
          <w:tcPr>
            <w:tcW w:w="3402" w:type="dxa"/>
            <w:tcBorders>
              <w:bottom w:val="single" w:sz="4" w:space="0" w:color="D9D9D9"/>
            </w:tcBorders>
          </w:tcPr>
          <w:p w14:paraId="71D89FC7" w14:textId="77777777" w:rsidR="00C75A27" w:rsidRDefault="00D4093E">
            <w:pPr>
              <w:keepNext/>
              <w:spacing w:before="40" w:after="40"/>
              <w:jc w:val="left"/>
            </w:pPr>
            <w:r>
              <w:rPr>
                <w:sz w:val="17"/>
              </w:rPr>
              <w:t>93,6</w:t>
            </w:r>
          </w:p>
        </w:tc>
      </w:tr>
      <w:tr w:rsidR="00C75A27" w14:paraId="7BF04987" w14:textId="77777777">
        <w:trPr>
          <w:cantSplit/>
          <w:jc w:val="center"/>
        </w:trPr>
        <w:tc>
          <w:tcPr>
            <w:tcW w:w="2268" w:type="dxa"/>
            <w:tcBorders>
              <w:bottom w:val="single" w:sz="4" w:space="0" w:color="D9D9D9"/>
            </w:tcBorders>
          </w:tcPr>
          <w:p w14:paraId="42D1233C" w14:textId="77777777" w:rsidR="00C75A27" w:rsidRDefault="00D4093E">
            <w:pPr>
              <w:keepNext/>
              <w:spacing w:before="40" w:after="40"/>
              <w:jc w:val="left"/>
            </w:pPr>
            <w:r>
              <w:rPr>
                <w:sz w:val="17"/>
              </w:rPr>
              <w:t>Kilovatio hora</w:t>
            </w:r>
          </w:p>
        </w:tc>
        <w:tc>
          <w:tcPr>
            <w:tcW w:w="2835" w:type="dxa"/>
            <w:tcBorders>
              <w:bottom w:val="single" w:sz="4" w:space="0" w:color="D9D9D9"/>
            </w:tcBorders>
          </w:tcPr>
          <w:p w14:paraId="6C418292" w14:textId="77777777" w:rsidR="00C75A27" w:rsidRDefault="00D4093E">
            <w:pPr>
              <w:keepNext/>
              <w:spacing w:before="40" w:after="40"/>
              <w:jc w:val="left"/>
            </w:pPr>
            <w:r>
              <w:rPr>
                <w:sz w:val="17"/>
              </w:rPr>
              <w:t>Electricidad</w:t>
            </w:r>
          </w:p>
        </w:tc>
        <w:tc>
          <w:tcPr>
            <w:tcW w:w="3402" w:type="dxa"/>
            <w:tcBorders>
              <w:bottom w:val="single" w:sz="4" w:space="0" w:color="D9D9D9"/>
            </w:tcBorders>
          </w:tcPr>
          <w:p w14:paraId="283B09B6" w14:textId="77777777" w:rsidR="00C75A27" w:rsidRDefault="00D4093E">
            <w:pPr>
              <w:keepNext/>
              <w:spacing w:before="40" w:after="40"/>
              <w:jc w:val="left"/>
            </w:pPr>
            <w:r>
              <w:rPr>
                <w:sz w:val="17"/>
              </w:rPr>
              <w:t>3,4</w:t>
            </w:r>
          </w:p>
        </w:tc>
      </w:tr>
    </w:tbl>
    <w:p w14:paraId="4C41CC02" w14:textId="77777777" w:rsidR="00C75A27" w:rsidRPr="003E0D14" w:rsidRDefault="00D4093E">
      <w:pPr>
        <w:keepLines/>
        <w:rPr>
          <w:lang w:val="es-PE"/>
        </w:rPr>
      </w:pPr>
      <w:r w:rsidRPr="003E0D14">
        <w:rPr>
          <w:i/>
          <w:color w:val="808080"/>
          <w:sz w:val="16"/>
          <w:lang w:val="es-PE"/>
        </w:rPr>
        <w:t>¹ El contenido energético de un mismo combustible puede variar según sus características. En promedio, el gas natural distribuido en el Perú tenía un poder calorífico cercano a 37,9 miles de BTU por metro cúbico. Los valores de los demás combustibles corresponden a los poderes caloríficos netos de los combustibles producidos en el Perú publicados en el inventario nacional de gases de efecto invernadero; la leña supone una densidad de apilado de 380 kilogramos por metro cúbico.</w:t>
      </w:r>
    </w:p>
    <w:sectPr w:rsidR="00C75A27" w:rsidRPr="003E0D14" w:rsidSect="00034616">
      <w:headerReference w:type="default" r:id="rId148"/>
      <w:footerReference w:type="default" r:id="rId149"/>
      <w:footerReference w:type="first" r:id="rId150"/>
      <w:pgSz w:w="11906" w:h="16838"/>
      <w:pgMar w:top="1417" w:right="1701" w:bottom="141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F4EAD" w14:textId="77777777" w:rsidR="004041D8" w:rsidRDefault="004041D8" w:rsidP="007C02AE">
      <w:pPr>
        <w:spacing w:after="0" w:line="240" w:lineRule="auto"/>
      </w:pPr>
      <w:r>
        <w:separator/>
      </w:r>
    </w:p>
  </w:endnote>
  <w:endnote w:type="continuationSeparator" w:id="0">
    <w:p w14:paraId="27501A31" w14:textId="77777777" w:rsidR="004041D8" w:rsidRDefault="004041D8" w:rsidP="007C0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4C96" w14:textId="77777777" w:rsidR="00607278" w:rsidRDefault="00F85315">
    <w:pPr>
      <w:pStyle w:val="Piedepgina"/>
      <w:jc w:val="center"/>
    </w:pPr>
    <w:r>
      <w:rPr>
        <w:rFonts w:cs="Arial"/>
        <w:color w:val="595959"/>
        <w:sz w:val="18"/>
        <w:szCs w:val="18"/>
      </w:rPr>
      <w:fldChar w:fldCharType="begin"/>
    </w:r>
    <w:r>
      <w:rPr>
        <w:rFonts w:cs="Arial"/>
        <w:color w:val="595959"/>
        <w:sz w:val="18"/>
        <w:szCs w:val="18"/>
      </w:rPr>
      <w:instrText xml:space="preserve"> PAGE </w:instrText>
    </w:r>
    <w:r>
      <w:rPr>
        <w:rFonts w:cs="Arial"/>
        <w:color w:val="595959"/>
        <w:sz w:val="18"/>
        <w:szCs w:val="18"/>
      </w:rPr>
      <w:fldChar w:fldCharType="separate"/>
    </w:r>
    <w:r>
      <w:rPr>
        <w:rFonts w:cs="Arial"/>
        <w:color w:val="595959"/>
        <w:sz w:val="18"/>
        <w:szCs w:val="18"/>
      </w:rPr>
      <w:t>2</w:t>
    </w:r>
    <w:r>
      <w:rPr>
        <w:rFonts w:cs="Arial"/>
        <w:color w:val="59595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9E2C4" w14:textId="77777777" w:rsidR="00607278" w:rsidRDefault="0060727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4DD25" w14:textId="77777777" w:rsidR="004041D8" w:rsidRDefault="004041D8" w:rsidP="007C02AE">
      <w:pPr>
        <w:spacing w:after="0" w:line="240" w:lineRule="auto"/>
      </w:pPr>
      <w:r>
        <w:separator/>
      </w:r>
    </w:p>
  </w:footnote>
  <w:footnote w:type="continuationSeparator" w:id="0">
    <w:p w14:paraId="61261D69" w14:textId="77777777" w:rsidR="004041D8" w:rsidRDefault="004041D8" w:rsidP="007C02AE">
      <w:pPr>
        <w:spacing w:after="0" w:line="240" w:lineRule="auto"/>
      </w:pPr>
      <w:r>
        <w:continuationSeparator/>
      </w:r>
    </w:p>
  </w:footnote>
  <w:footnote w:id="1">
    <w:p w14:paraId="41003DD0" w14:textId="77777777" w:rsidR="001E3206" w:rsidRDefault="00000000">
      <w:pPr>
        <w:spacing w:after="0" w:line="240" w:lineRule="auto"/>
      </w:pPr>
      <w:r>
        <w:rPr>
          <w:i/>
          <w:color w:val="808080"/>
          <w:sz w:val="16"/>
          <w:vertAlign w:val="superscript"/>
          <w:lang w:val="es-PE"/>
        </w:rPr>
        <w:footnoteRef/>
      </w:r>
      <w:r>
        <w:rPr>
          <w:i/>
          <w:color w:val="808080"/>
          <w:sz w:val="16"/>
          <w:lang w:val="es-PE"/>
        </w:rPr>
        <w:t xml:space="preserve"> Comparaciones a precios de Lima de agosto de 2026, llevadas a energía equivalente (millones de BTU). Gas natural: pliego tarifario de Cálidda, categorías A1 residencial y D–E industrial. Gasohol regular, gas natural vehicular y petróleo industrial n.° 6: precios promedio de Osinergmin. Electricidad: tarifa BT5B residencial de Lima, componente de energía.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602C" w14:textId="77777777" w:rsidR="00857D06" w:rsidRDefault="00857D0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34AECB6"/>
    <w:multiLevelType w:val="hybridMultilevel"/>
    <w:tmpl w:val="1DBAEB9A"/>
    <w:lvl w:ilvl="0" w:tplc="1CCE62F8">
      <w:numFmt w:val="bullet"/>
      <w:lvlText w:val="-"/>
      <w:lvlJc w:val="left"/>
      <w:pPr>
        <w:ind w:left="720" w:hanging="360"/>
      </w:pPr>
      <w:rPr>
        <w:rFonts w:ascii="Arial" w:eastAsiaTheme="minorEastAsia"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64045CB"/>
    <w:multiLevelType w:val="hybridMultilevel"/>
    <w:tmpl w:val="1DBAEB9A"/>
    <w:lvl w:ilvl="0" w:tplc="1CCE62F8">
      <w:numFmt w:val="bullet"/>
      <w:lvlText w:val="-"/>
      <w:lvlJc w:val="left"/>
      <w:pPr>
        <w:ind w:left="720" w:hanging="360"/>
      </w:pPr>
      <w:rPr>
        <w:rFonts w:ascii="Arial" w:eastAsiaTheme="minorEastAsia"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23350981">
    <w:abstractNumId w:val="8"/>
  </w:num>
  <w:num w:numId="2" w16cid:durableId="938835939">
    <w:abstractNumId w:val="6"/>
  </w:num>
  <w:num w:numId="3" w16cid:durableId="1317224851">
    <w:abstractNumId w:val="5"/>
  </w:num>
  <w:num w:numId="4" w16cid:durableId="1997414875">
    <w:abstractNumId w:val="4"/>
  </w:num>
  <w:num w:numId="5" w16cid:durableId="1677612978">
    <w:abstractNumId w:val="7"/>
  </w:num>
  <w:num w:numId="6" w16cid:durableId="2146123962">
    <w:abstractNumId w:val="3"/>
  </w:num>
  <w:num w:numId="7" w16cid:durableId="1977253877">
    <w:abstractNumId w:val="2"/>
  </w:num>
  <w:num w:numId="8" w16cid:durableId="1511332459">
    <w:abstractNumId w:val="1"/>
  </w:num>
  <w:num w:numId="9" w16cid:durableId="599030410">
    <w:abstractNumId w:val="0"/>
  </w:num>
  <w:num w:numId="10" w16cid:durableId="2138179364">
    <w:abstractNumId w:val="9"/>
  </w:num>
  <w:num w:numId="11" w16cid:durableId="21381793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176"/>
    <w:rsid w:val="000075D5"/>
    <w:rsid w:val="00013575"/>
    <w:rsid w:val="00014DEC"/>
    <w:rsid w:val="00034616"/>
    <w:rsid w:val="0004010F"/>
    <w:rsid w:val="000470F8"/>
    <w:rsid w:val="00047F5E"/>
    <w:rsid w:val="00053D38"/>
    <w:rsid w:val="000572D3"/>
    <w:rsid w:val="0006063C"/>
    <w:rsid w:val="00062D7E"/>
    <w:rsid w:val="00081567"/>
    <w:rsid w:val="0008767D"/>
    <w:rsid w:val="0009130A"/>
    <w:rsid w:val="00094E27"/>
    <w:rsid w:val="000A75F7"/>
    <w:rsid w:val="000B1E1F"/>
    <w:rsid w:val="000C52F5"/>
    <w:rsid w:val="000D3BE9"/>
    <w:rsid w:val="000D529F"/>
    <w:rsid w:val="000D6728"/>
    <w:rsid w:val="000E1466"/>
    <w:rsid w:val="000E4502"/>
    <w:rsid w:val="000E5796"/>
    <w:rsid w:val="00104CD6"/>
    <w:rsid w:val="00107355"/>
    <w:rsid w:val="00114526"/>
    <w:rsid w:val="00116A36"/>
    <w:rsid w:val="00120310"/>
    <w:rsid w:val="00124DAB"/>
    <w:rsid w:val="00144B09"/>
    <w:rsid w:val="0015074B"/>
    <w:rsid w:val="0017785C"/>
    <w:rsid w:val="00180FC4"/>
    <w:rsid w:val="00191FF7"/>
    <w:rsid w:val="0019639F"/>
    <w:rsid w:val="001A03D1"/>
    <w:rsid w:val="001A69B4"/>
    <w:rsid w:val="001B444C"/>
    <w:rsid w:val="001B6052"/>
    <w:rsid w:val="001D2E5A"/>
    <w:rsid w:val="001D477C"/>
    <w:rsid w:val="001E021A"/>
    <w:rsid w:val="001E3206"/>
    <w:rsid w:val="001F6D38"/>
    <w:rsid w:val="002009A6"/>
    <w:rsid w:val="00201F1E"/>
    <w:rsid w:val="00211EC4"/>
    <w:rsid w:val="0022300F"/>
    <w:rsid w:val="002315D6"/>
    <w:rsid w:val="00242B25"/>
    <w:rsid w:val="00253990"/>
    <w:rsid w:val="0026270D"/>
    <w:rsid w:val="00270EEC"/>
    <w:rsid w:val="00275C95"/>
    <w:rsid w:val="0029639D"/>
    <w:rsid w:val="00296C38"/>
    <w:rsid w:val="002B4B90"/>
    <w:rsid w:val="002B58C4"/>
    <w:rsid w:val="002B7C86"/>
    <w:rsid w:val="002C3739"/>
    <w:rsid w:val="002C7901"/>
    <w:rsid w:val="002E0447"/>
    <w:rsid w:val="002E22CC"/>
    <w:rsid w:val="002E3F6C"/>
    <w:rsid w:val="0030076E"/>
    <w:rsid w:val="003140DA"/>
    <w:rsid w:val="003153EB"/>
    <w:rsid w:val="003268F3"/>
    <w:rsid w:val="00326F90"/>
    <w:rsid w:val="00343619"/>
    <w:rsid w:val="003452C9"/>
    <w:rsid w:val="003530C6"/>
    <w:rsid w:val="00356277"/>
    <w:rsid w:val="0036111A"/>
    <w:rsid w:val="00366DD6"/>
    <w:rsid w:val="00374358"/>
    <w:rsid w:val="0037726D"/>
    <w:rsid w:val="00377826"/>
    <w:rsid w:val="00380A90"/>
    <w:rsid w:val="003817F5"/>
    <w:rsid w:val="00381BA5"/>
    <w:rsid w:val="00384709"/>
    <w:rsid w:val="00391FC0"/>
    <w:rsid w:val="003B068F"/>
    <w:rsid w:val="003D1D0C"/>
    <w:rsid w:val="003D2437"/>
    <w:rsid w:val="003E08B6"/>
    <w:rsid w:val="003E0D14"/>
    <w:rsid w:val="003E0F64"/>
    <w:rsid w:val="003E6233"/>
    <w:rsid w:val="003F1B11"/>
    <w:rsid w:val="003F1D5B"/>
    <w:rsid w:val="003F4FEF"/>
    <w:rsid w:val="004041D8"/>
    <w:rsid w:val="00414F71"/>
    <w:rsid w:val="00432A7E"/>
    <w:rsid w:val="004371CE"/>
    <w:rsid w:val="0046327E"/>
    <w:rsid w:val="004655FB"/>
    <w:rsid w:val="00470B68"/>
    <w:rsid w:val="004815B0"/>
    <w:rsid w:val="00481CE9"/>
    <w:rsid w:val="00485C35"/>
    <w:rsid w:val="00494591"/>
    <w:rsid w:val="004B32F9"/>
    <w:rsid w:val="004D6A0D"/>
    <w:rsid w:val="004E540D"/>
    <w:rsid w:val="004F3DB7"/>
    <w:rsid w:val="004F7DC8"/>
    <w:rsid w:val="0050250F"/>
    <w:rsid w:val="00502A8A"/>
    <w:rsid w:val="005033D3"/>
    <w:rsid w:val="005115FF"/>
    <w:rsid w:val="00527A3B"/>
    <w:rsid w:val="00530406"/>
    <w:rsid w:val="005304B6"/>
    <w:rsid w:val="005316B8"/>
    <w:rsid w:val="00534316"/>
    <w:rsid w:val="00535B3F"/>
    <w:rsid w:val="005377F0"/>
    <w:rsid w:val="005462BD"/>
    <w:rsid w:val="00550733"/>
    <w:rsid w:val="00552E6B"/>
    <w:rsid w:val="00553548"/>
    <w:rsid w:val="00556D0A"/>
    <w:rsid w:val="00570B07"/>
    <w:rsid w:val="005822E0"/>
    <w:rsid w:val="00586BA2"/>
    <w:rsid w:val="005937B6"/>
    <w:rsid w:val="005A0A9B"/>
    <w:rsid w:val="005A33A4"/>
    <w:rsid w:val="005A7FAA"/>
    <w:rsid w:val="005B68F6"/>
    <w:rsid w:val="005B7D74"/>
    <w:rsid w:val="005D683A"/>
    <w:rsid w:val="005F666C"/>
    <w:rsid w:val="0060712B"/>
    <w:rsid w:val="00607278"/>
    <w:rsid w:val="00622065"/>
    <w:rsid w:val="006245F2"/>
    <w:rsid w:val="0063134E"/>
    <w:rsid w:val="00644C4A"/>
    <w:rsid w:val="00656F83"/>
    <w:rsid w:val="00675921"/>
    <w:rsid w:val="006851A8"/>
    <w:rsid w:val="006A0124"/>
    <w:rsid w:val="006A0C73"/>
    <w:rsid w:val="006A7B57"/>
    <w:rsid w:val="006B4882"/>
    <w:rsid w:val="006C7379"/>
    <w:rsid w:val="006D18EB"/>
    <w:rsid w:val="006D37A5"/>
    <w:rsid w:val="006D691C"/>
    <w:rsid w:val="006D7FC4"/>
    <w:rsid w:val="006E50E3"/>
    <w:rsid w:val="006F3F89"/>
    <w:rsid w:val="007040A5"/>
    <w:rsid w:val="00706569"/>
    <w:rsid w:val="00710382"/>
    <w:rsid w:val="00717082"/>
    <w:rsid w:val="00720E2B"/>
    <w:rsid w:val="00724334"/>
    <w:rsid w:val="00730EE6"/>
    <w:rsid w:val="00742ECE"/>
    <w:rsid w:val="007569E2"/>
    <w:rsid w:val="00760515"/>
    <w:rsid w:val="00762E85"/>
    <w:rsid w:val="00771B3B"/>
    <w:rsid w:val="0078313E"/>
    <w:rsid w:val="00786EA0"/>
    <w:rsid w:val="0078729E"/>
    <w:rsid w:val="007A01B9"/>
    <w:rsid w:val="007A10C2"/>
    <w:rsid w:val="007A7FEE"/>
    <w:rsid w:val="007C02AE"/>
    <w:rsid w:val="007C0F10"/>
    <w:rsid w:val="007C46A9"/>
    <w:rsid w:val="007C607F"/>
    <w:rsid w:val="007C6735"/>
    <w:rsid w:val="007D4211"/>
    <w:rsid w:val="007E4C14"/>
    <w:rsid w:val="00811D49"/>
    <w:rsid w:val="0082324F"/>
    <w:rsid w:val="00825A25"/>
    <w:rsid w:val="00833388"/>
    <w:rsid w:val="0083487B"/>
    <w:rsid w:val="00846E2E"/>
    <w:rsid w:val="00855697"/>
    <w:rsid w:val="008559EE"/>
    <w:rsid w:val="008565B2"/>
    <w:rsid w:val="00857284"/>
    <w:rsid w:val="00857BAF"/>
    <w:rsid w:val="00857D06"/>
    <w:rsid w:val="00863BE3"/>
    <w:rsid w:val="00880BF3"/>
    <w:rsid w:val="00884764"/>
    <w:rsid w:val="00890D7C"/>
    <w:rsid w:val="00892DA4"/>
    <w:rsid w:val="008950A9"/>
    <w:rsid w:val="008955DB"/>
    <w:rsid w:val="00896D9E"/>
    <w:rsid w:val="008B0345"/>
    <w:rsid w:val="008C0F97"/>
    <w:rsid w:val="008C3BB0"/>
    <w:rsid w:val="008D1A1C"/>
    <w:rsid w:val="008E4DDE"/>
    <w:rsid w:val="008E55EE"/>
    <w:rsid w:val="008F3410"/>
    <w:rsid w:val="00907E2F"/>
    <w:rsid w:val="00910C14"/>
    <w:rsid w:val="009146B6"/>
    <w:rsid w:val="0092202D"/>
    <w:rsid w:val="0093052E"/>
    <w:rsid w:val="00934E8F"/>
    <w:rsid w:val="009407B8"/>
    <w:rsid w:val="0094195D"/>
    <w:rsid w:val="0094546B"/>
    <w:rsid w:val="00947974"/>
    <w:rsid w:val="00951A17"/>
    <w:rsid w:val="00966AF1"/>
    <w:rsid w:val="00972244"/>
    <w:rsid w:val="009937AD"/>
    <w:rsid w:val="009938EA"/>
    <w:rsid w:val="00996416"/>
    <w:rsid w:val="009B3314"/>
    <w:rsid w:val="009B793A"/>
    <w:rsid w:val="009C0B74"/>
    <w:rsid w:val="009D531E"/>
    <w:rsid w:val="009D5421"/>
    <w:rsid w:val="009E103C"/>
    <w:rsid w:val="009E394C"/>
    <w:rsid w:val="009F0C0F"/>
    <w:rsid w:val="00A004F4"/>
    <w:rsid w:val="00A156D7"/>
    <w:rsid w:val="00A24980"/>
    <w:rsid w:val="00A331FF"/>
    <w:rsid w:val="00A355F8"/>
    <w:rsid w:val="00A37447"/>
    <w:rsid w:val="00A41C33"/>
    <w:rsid w:val="00A43111"/>
    <w:rsid w:val="00A43AF1"/>
    <w:rsid w:val="00A44A40"/>
    <w:rsid w:val="00A500F5"/>
    <w:rsid w:val="00A52C85"/>
    <w:rsid w:val="00A63172"/>
    <w:rsid w:val="00A66C02"/>
    <w:rsid w:val="00A703C5"/>
    <w:rsid w:val="00A74508"/>
    <w:rsid w:val="00A82497"/>
    <w:rsid w:val="00A85E9C"/>
    <w:rsid w:val="00A925E9"/>
    <w:rsid w:val="00AA1D8D"/>
    <w:rsid w:val="00AA666C"/>
    <w:rsid w:val="00AB3B02"/>
    <w:rsid w:val="00AC44C7"/>
    <w:rsid w:val="00AC51BF"/>
    <w:rsid w:val="00AC6195"/>
    <w:rsid w:val="00AD2104"/>
    <w:rsid w:val="00AD7C31"/>
    <w:rsid w:val="00AF00AE"/>
    <w:rsid w:val="00AF0A46"/>
    <w:rsid w:val="00AF4333"/>
    <w:rsid w:val="00B0390A"/>
    <w:rsid w:val="00B136A4"/>
    <w:rsid w:val="00B262BC"/>
    <w:rsid w:val="00B2778B"/>
    <w:rsid w:val="00B313C1"/>
    <w:rsid w:val="00B40F46"/>
    <w:rsid w:val="00B41A31"/>
    <w:rsid w:val="00B4606A"/>
    <w:rsid w:val="00B46CAE"/>
    <w:rsid w:val="00B47730"/>
    <w:rsid w:val="00B56C8F"/>
    <w:rsid w:val="00B67672"/>
    <w:rsid w:val="00B76DC9"/>
    <w:rsid w:val="00B77457"/>
    <w:rsid w:val="00B90084"/>
    <w:rsid w:val="00BB2352"/>
    <w:rsid w:val="00BD7C73"/>
    <w:rsid w:val="00BF4654"/>
    <w:rsid w:val="00C13772"/>
    <w:rsid w:val="00C21D9F"/>
    <w:rsid w:val="00C75A27"/>
    <w:rsid w:val="00C904A4"/>
    <w:rsid w:val="00C9768D"/>
    <w:rsid w:val="00CA26CA"/>
    <w:rsid w:val="00CB0664"/>
    <w:rsid w:val="00CB24F0"/>
    <w:rsid w:val="00CB6631"/>
    <w:rsid w:val="00CD0138"/>
    <w:rsid w:val="00CD3732"/>
    <w:rsid w:val="00CF0B0C"/>
    <w:rsid w:val="00D02329"/>
    <w:rsid w:val="00D21555"/>
    <w:rsid w:val="00D4093E"/>
    <w:rsid w:val="00D41694"/>
    <w:rsid w:val="00D41D54"/>
    <w:rsid w:val="00D43913"/>
    <w:rsid w:val="00D55BB5"/>
    <w:rsid w:val="00D60D53"/>
    <w:rsid w:val="00D61135"/>
    <w:rsid w:val="00D611B3"/>
    <w:rsid w:val="00D74817"/>
    <w:rsid w:val="00D83036"/>
    <w:rsid w:val="00DA070F"/>
    <w:rsid w:val="00DB2AA4"/>
    <w:rsid w:val="00DB3D73"/>
    <w:rsid w:val="00DC3FC1"/>
    <w:rsid w:val="00DE2172"/>
    <w:rsid w:val="00DF0201"/>
    <w:rsid w:val="00DF64CA"/>
    <w:rsid w:val="00E01A08"/>
    <w:rsid w:val="00E14548"/>
    <w:rsid w:val="00E1505A"/>
    <w:rsid w:val="00E21B5F"/>
    <w:rsid w:val="00E25F48"/>
    <w:rsid w:val="00E26643"/>
    <w:rsid w:val="00E352E3"/>
    <w:rsid w:val="00E469C3"/>
    <w:rsid w:val="00E74B1A"/>
    <w:rsid w:val="00E97CC9"/>
    <w:rsid w:val="00EB2741"/>
    <w:rsid w:val="00EC1276"/>
    <w:rsid w:val="00EC1646"/>
    <w:rsid w:val="00EC5090"/>
    <w:rsid w:val="00ED3CA9"/>
    <w:rsid w:val="00EE70DB"/>
    <w:rsid w:val="00EE7BB6"/>
    <w:rsid w:val="00F03DBC"/>
    <w:rsid w:val="00F242C7"/>
    <w:rsid w:val="00F30015"/>
    <w:rsid w:val="00F42405"/>
    <w:rsid w:val="00F443D7"/>
    <w:rsid w:val="00F47D6A"/>
    <w:rsid w:val="00F57D15"/>
    <w:rsid w:val="00F638A7"/>
    <w:rsid w:val="00F85315"/>
    <w:rsid w:val="00F92BEC"/>
    <w:rsid w:val="00F93307"/>
    <w:rsid w:val="00F93DB0"/>
    <w:rsid w:val="00F94FD9"/>
    <w:rsid w:val="00FA213A"/>
    <w:rsid w:val="00FA5CFC"/>
    <w:rsid w:val="00FA7F47"/>
    <w:rsid w:val="00FB54D1"/>
    <w:rsid w:val="00FC0956"/>
    <w:rsid w:val="00FC693F"/>
    <w:rsid w:val="00FD396B"/>
    <w:rsid w:val="00FF137B"/>
    <w:rsid w:val="0106E044"/>
    <w:rsid w:val="0432FB6C"/>
    <w:rsid w:val="076C49E4"/>
    <w:rsid w:val="0A8EF1A6"/>
    <w:rsid w:val="1993FD15"/>
    <w:rsid w:val="27000107"/>
    <w:rsid w:val="2B9531FE"/>
    <w:rsid w:val="2C904A55"/>
    <w:rsid w:val="2D7AC481"/>
    <w:rsid w:val="3A754BA3"/>
    <w:rsid w:val="3C79B005"/>
    <w:rsid w:val="3ED12C60"/>
    <w:rsid w:val="4133C973"/>
    <w:rsid w:val="4589023D"/>
    <w:rsid w:val="55FE3E91"/>
    <w:rsid w:val="560E417B"/>
    <w:rsid w:val="57F48026"/>
    <w:rsid w:val="6112C571"/>
    <w:rsid w:val="64B1DF27"/>
    <w:rsid w:val="6A0B28A7"/>
    <w:rsid w:val="6A75BC5D"/>
    <w:rsid w:val="6AB2C4C4"/>
    <w:rsid w:val="6CE6B1C6"/>
    <w:rsid w:val="6DC76F34"/>
    <w:rsid w:val="75C0D633"/>
    <w:rsid w:val="7C49CC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44AE537-A6AB-4349-B3CB-60D907AEF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jc w:val="both"/>
    </w:pPr>
    <w:rPr>
      <w:sz w:val="21"/>
    </w:rPr>
  </w:style>
  <w:style w:type="paragraph" w:styleId="Ttulo1">
    <w:name w:val="heading 1"/>
    <w:basedOn w:val="Normal"/>
    <w:next w:val="Normal"/>
    <w:link w:val="Ttulo1Car"/>
    <w:uiPriority w:val="9"/>
    <w:qFormat/>
    <w:rsid w:val="00FC693F"/>
    <w:pPr>
      <w:keepNext/>
      <w:keepLines/>
      <w:spacing w:before="480" w:after="0"/>
      <w:outlineLvl w:val="0"/>
    </w:pPr>
    <w:rPr>
      <w:rFonts w:eastAsiaTheme="majorEastAsia" w:cstheme="majorBidi"/>
      <w:b/>
      <w:bCs/>
      <w:color w:val="1F3864"/>
      <w:sz w:val="32"/>
      <w:szCs w:val="32"/>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eastAsiaTheme="majorEastAsia" w:cstheme="majorBidi"/>
      <w:b/>
      <w:bCs/>
      <w:color w:val="1F3864"/>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eastAsiaTheme="majorEastAsia" w:cstheme="majorBidi"/>
      <w:b/>
      <w:bCs/>
      <w:color w:val="1F3864"/>
      <w:sz w:val="24"/>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eastAsiaTheme="majorEastAsia" w:cstheme="majorBidi"/>
      <w:b/>
      <w:bCs/>
      <w:i/>
      <w:iCs/>
      <w:color w:val="4F81BD" w:themeColor="accent1"/>
      <w:sz w:val="23"/>
      <w:szCs w:val="23"/>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eastAsiaTheme="majorEastAsia"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eastAsiaTheme="majorEastAsia"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Arial" w:eastAsiaTheme="majorEastAsia" w:hAnsi="Arial"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Arial" w:eastAsiaTheme="majorEastAsia" w:hAnsi="Arial"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Arial" w:eastAsiaTheme="majorEastAsia" w:hAnsi="Arial" w:cstheme="majorBidi"/>
      <w:b/>
      <w:bCs/>
      <w:color w:val="4F81BD" w:themeColor="accent1"/>
      <w:sz w:val="24"/>
      <w:szCs w:val="24"/>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Arial" w:eastAsiaTheme="majorEastAsia" w:hAnsi="Arial"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eastAsiaTheme="majorEastAsia"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Arial" w:eastAsiaTheme="majorEastAsia" w:hAnsi="Arial"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Arial" w:eastAsiaTheme="majorEastAsia" w:hAnsi="Arial" w:cstheme="majorBidi"/>
      <w:b/>
      <w:bCs/>
      <w:i/>
      <w:iCs/>
      <w:color w:val="4F81BD" w:themeColor="accent1"/>
      <w:sz w:val="23"/>
      <w:szCs w:val="23"/>
    </w:rPr>
  </w:style>
  <w:style w:type="character" w:customStyle="1" w:styleId="Ttulo5Car">
    <w:name w:val="Título 5 Car"/>
    <w:basedOn w:val="Fuentedeprrafopredeter"/>
    <w:link w:val="Ttulo5"/>
    <w:uiPriority w:val="9"/>
    <w:semiHidden/>
    <w:rsid w:val="00FC693F"/>
    <w:rPr>
      <w:rFonts w:ascii="Arial" w:eastAsiaTheme="majorEastAsia" w:hAnsi="Arial"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Arial" w:eastAsiaTheme="majorEastAsia" w:hAnsi="Arial"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Arial" w:eastAsiaTheme="majorEastAsia" w:hAnsi="Arial"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Arial" w:eastAsiaTheme="majorEastAsia" w:hAnsi="Arial"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Arial" w:eastAsiaTheme="majorEastAsia" w:hAnsi="Arial"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Theme="majorEastAsia" w:hAnsi="Arial"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Theme="majorEastAsia" w:hAnsi="Arial"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Theme="majorEastAsia" w:hAnsi="Arial"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Theme="majorEastAsia" w:hAnsi="Arial"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Theme="majorEastAsia" w:hAnsi="Arial"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Theme="majorEastAsia" w:hAnsi="Arial"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Theme="majorEastAsia" w:hAnsi="Arial"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Theme="majorEastAsia" w:hAnsi="Arial"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Theme="majorEastAsia" w:hAnsi="Arial"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Theme="majorEastAsia" w:hAnsi="Arial"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Theme="majorEastAsia" w:hAnsi="Arial"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Theme="majorEastAsia" w:hAnsi="Arial"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Theme="majorEastAsia" w:hAnsi="Arial"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Theme="majorEastAsia" w:hAnsi="Arial"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Theme="majorEastAsia" w:hAnsi="Arial"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Theme="majorEastAsia" w:hAnsi="Arial"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Theme="majorEastAsia" w:hAnsi="Arial"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Theme="majorEastAsia" w:hAnsi="Arial"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Theme="majorEastAsia" w:hAnsi="Arial"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Theme="majorEastAsia" w:hAnsi="Arial"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Theme="majorEastAsia" w:hAnsi="Arial"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n">
    <w:name w:val="Revision"/>
    <w:hidden/>
    <w:uiPriority w:val="99"/>
    <w:semiHidden/>
    <w:rsid w:val="00675921"/>
    <w:pPr>
      <w:spacing w:after="0" w:line="240"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image" Target="media/image128.png"/><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png"/><Relationship Id="rId128" Type="http://schemas.openxmlformats.org/officeDocument/2006/relationships/image" Target="media/image118.png"/><Relationship Id="rId149" Type="http://schemas.openxmlformats.org/officeDocument/2006/relationships/footer" Target="footer1.xml"/><Relationship Id="rId5" Type="http://schemas.openxmlformats.org/officeDocument/2006/relationships/numbering" Target="numbering.xml"/><Relationship Id="rId95" Type="http://schemas.openxmlformats.org/officeDocument/2006/relationships/image" Target="media/image85.jpe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3.png"/><Relationship Id="rId118" Type="http://schemas.openxmlformats.org/officeDocument/2006/relationships/image" Target="media/image108.png"/><Relationship Id="rId134" Type="http://schemas.openxmlformats.org/officeDocument/2006/relationships/image" Target="media/image124.png"/><Relationship Id="rId139" Type="http://schemas.openxmlformats.org/officeDocument/2006/relationships/image" Target="media/image129.png"/><Relationship Id="rId80" Type="http://schemas.openxmlformats.org/officeDocument/2006/relationships/image" Target="media/image70.png"/><Relationship Id="rId85" Type="http://schemas.openxmlformats.org/officeDocument/2006/relationships/image" Target="media/image75.png"/><Relationship Id="rId150" Type="http://schemas.openxmlformats.org/officeDocument/2006/relationships/footer" Target="footer2.xml"/><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08" Type="http://schemas.openxmlformats.org/officeDocument/2006/relationships/image" Target="media/image98.png"/><Relationship Id="rId124" Type="http://schemas.openxmlformats.org/officeDocument/2006/relationships/image" Target="media/image114.png"/><Relationship Id="rId129" Type="http://schemas.openxmlformats.org/officeDocument/2006/relationships/image" Target="media/image119.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jpg"/><Relationship Id="rId140" Type="http://schemas.openxmlformats.org/officeDocument/2006/relationships/image" Target="media/image130.png"/><Relationship Id="rId145" Type="http://schemas.openxmlformats.org/officeDocument/2006/relationships/image" Target="media/image135.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image" Target="media/image34.png"/><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71.png"/><Relationship Id="rId86" Type="http://schemas.openxmlformats.org/officeDocument/2006/relationships/image" Target="media/image76.png"/><Relationship Id="rId130" Type="http://schemas.openxmlformats.org/officeDocument/2006/relationships/image" Target="media/image120.png"/><Relationship Id="rId135" Type="http://schemas.openxmlformats.org/officeDocument/2006/relationships/image" Target="media/image125.png"/><Relationship Id="rId151" Type="http://schemas.openxmlformats.org/officeDocument/2006/relationships/fontTable" Target="fontTable.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jpe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141" Type="http://schemas.openxmlformats.org/officeDocument/2006/relationships/image" Target="media/image131.png"/><Relationship Id="rId146" Type="http://schemas.openxmlformats.org/officeDocument/2006/relationships/image" Target="media/image136.png"/><Relationship Id="rId7" Type="http://schemas.openxmlformats.org/officeDocument/2006/relationships/settings" Target="setting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png"/><Relationship Id="rId136" Type="http://schemas.openxmlformats.org/officeDocument/2006/relationships/image" Target="media/image126.png"/><Relationship Id="rId61" Type="http://schemas.openxmlformats.org/officeDocument/2006/relationships/image" Target="media/image51.png"/><Relationship Id="rId82" Type="http://schemas.openxmlformats.org/officeDocument/2006/relationships/image" Target="media/image72.png"/><Relationship Id="rId152"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132.png"/><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6.png"/><Relationship Id="rId137" Type="http://schemas.openxmlformats.org/officeDocument/2006/relationships/image" Target="media/image127.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image" Target="media/image122.pn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image" Target="media/image117.png"/><Relationship Id="rId10" Type="http://schemas.openxmlformats.org/officeDocument/2006/relationships/endnotes" Target="endnotes.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jpeg"/><Relationship Id="rId99" Type="http://schemas.openxmlformats.org/officeDocument/2006/relationships/image" Target="media/image89.jp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133.png"/><Relationship Id="rId148"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6.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png"/><Relationship Id="rId16" Type="http://schemas.openxmlformats.org/officeDocument/2006/relationships/image" Target="media/image6.pn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90" Type="http://schemas.openxmlformats.org/officeDocument/2006/relationships/image" Target="media/image8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0A8DD8721EE3547A7B9A01CB4987179" ma:contentTypeVersion="19" ma:contentTypeDescription="Crear nuevo documento." ma:contentTypeScope="" ma:versionID="109323a3dc6097491dd139a86419841d">
  <xsd:schema xmlns:xsd="http://www.w3.org/2001/XMLSchema" xmlns:xs="http://www.w3.org/2001/XMLSchema" xmlns:p="http://schemas.microsoft.com/office/2006/metadata/properties" xmlns:ns2="45f6cab3-1881-4988-bd02-bd997dc5bad1" xmlns:ns3="c37f41b3-fada-4b69-b314-7ed8c2ce1ec6" targetNamespace="http://schemas.microsoft.com/office/2006/metadata/properties" ma:root="true" ma:fieldsID="cff040f859f025235575d39ea1dba720" ns2:_="" ns3:_="">
    <xsd:import namespace="45f6cab3-1881-4988-bd02-bd997dc5bad1"/>
    <xsd:import namespace="c37f41b3-fada-4b69-b314-7ed8c2ce1e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6cab3-1881-4988-bd02-bd997dc5ba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6da8801b-af9e-424b-a774-47cfcf7fa75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f41b3-fada-4b69-b314-7ed8c2ce1ec6"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88a0f83-113f-4a62-8e16-6df74f754526}" ma:internalName="TaxCatchAll" ma:showField="CatchAllData" ma:web="c37f41b3-fada-4b69-b314-7ed8c2ce1e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f6cab3-1881-4988-bd02-bd997dc5bad1">
      <Terms xmlns="http://schemas.microsoft.com/office/infopath/2007/PartnerControls"/>
    </lcf76f155ced4ddcb4097134ff3c332f>
    <TaxCatchAll xmlns="c37f41b3-fada-4b69-b314-7ed8c2ce1ec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0B9A78-225E-4E6F-976F-1C25C44F3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6cab3-1881-4988-bd02-bd997dc5bad1"/>
    <ds:schemaRef ds:uri="c37f41b3-fada-4b69-b314-7ed8c2ce1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129313F-B310-4D94-809F-B3CB984D75D8}">
  <ds:schemaRefs>
    <ds:schemaRef ds:uri="http://schemas.microsoft.com/office/2006/metadata/properties"/>
    <ds:schemaRef ds:uri="http://schemas.microsoft.com/office/infopath/2007/PartnerControls"/>
    <ds:schemaRef ds:uri="45f6cab3-1881-4988-bd02-bd997dc5bad1"/>
    <ds:schemaRef ds:uri="c37f41b3-fada-4b69-b314-7ed8c2ce1ec6"/>
  </ds:schemaRefs>
</ds:datastoreItem>
</file>

<file path=customXml/itemProps4.xml><?xml version="1.0" encoding="utf-8"?>
<ds:datastoreItem xmlns:ds="http://schemas.openxmlformats.org/officeDocument/2006/customXml" ds:itemID="{FFE0FF70-2FBB-417D-B2C9-3B5EDB1737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36407</Words>
  <Characters>200244</Characters>
  <Application>Microsoft Office Word</Application>
  <DocSecurity>0</DocSecurity>
  <Lines>1668</Lines>
  <Paragraphs>472</Paragraphs>
  <ScaleCrop>false</ScaleCrop>
  <Manager/>
  <Company/>
  <LinksUpToDate>false</LinksUpToDate>
  <CharactersWithSpaces>236179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APOYO Consultoría</dc:creator>
  <cp:keywords/>
  <dc:description>generated by python-docx</dc:description>
  <cp:lastModifiedBy>Nikolai Alvarez Cartagena</cp:lastModifiedBy>
  <cp:revision>30</cp:revision>
  <cp:lastPrinted>2026-09-23T21:58:00Z</cp:lastPrinted>
  <dcterms:created xsi:type="dcterms:W3CDTF">2026-09-23T15:41:00Z</dcterms:created>
  <dcterms:modified xsi:type="dcterms:W3CDTF">2026-10-20T15:24:00Z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0x01010010A8DD8721EE3547A7B9A01CB4987179</vt:lpwstr>
  </property>
</Properties>
</file>